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淮南市劳动和技能竞赛经费预算表</w:t>
      </w:r>
    </w:p>
    <w:bookmarkEnd w:id="0"/>
    <w:p>
      <w:pPr>
        <w:spacing w:line="5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申报单位（盖章）：</w:t>
      </w:r>
    </w:p>
    <w:tbl>
      <w:tblPr>
        <w:tblStyle w:val="3"/>
        <w:tblW w:w="9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42"/>
        <w:gridCol w:w="1586"/>
        <w:gridCol w:w="1404"/>
        <w:gridCol w:w="1337"/>
        <w:gridCol w:w="866"/>
        <w:gridCol w:w="1009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6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实施阶段</w:t>
            </w:r>
          </w:p>
        </w:tc>
        <w:tc>
          <w:tcPr>
            <w:tcW w:w="158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  目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33" w:firstLineChars="12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单价</w:t>
            </w: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数量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方案确立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方案设计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动员推广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信息发布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交流学习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赛前培训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实训材料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师资费用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交通误餐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场地租赁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比赛实施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技术支持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设施耗材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考务评审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后勤保障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总结推广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宣传展示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成果推广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4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奖励经费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奖项设置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  他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894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 计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80" w:lineRule="exact"/>
      </w:pPr>
      <w:r>
        <w:rPr>
          <w:rFonts w:hint="eastAsia" w:ascii="仿宋" w:hAnsi="仿宋" w:eastAsia="仿宋" w:cs="仿宋"/>
        </w:rPr>
        <w:t>备注：所列项目供参考，各竞赛可根据实际情况调整。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Dg1Zjg3Yjc1YjE5ZDhlYzI3Njc4OTg2ZDlmODgifQ=="/>
  </w:docVars>
  <w:rsids>
    <w:rsidRoot w:val="3E0973FF"/>
    <w:rsid w:val="3E0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2022-07-01T01:39:00Z</dcterms:created>
  <dc:creator>方人也</dc:creator>
  <cp:lastModifiedBy>方人也</cp:lastModifiedBy>
  <dcterms:modified xsi:type="dcterms:W3CDTF">2022-07-01T01:40:01Z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990D759ACDD4496AA68D5BCD7CFD83D7</vt:lpwstr>
  </property>
</Properties>
</file>