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0303">
      <w:pPr>
        <w:jc w:val="both"/>
        <w:rPr>
          <w:rFonts w:hint="eastAsia" w:ascii="仿宋" w:hAnsi="仿宋" w:eastAsia="仿宋" w:cs="仿宋"/>
          <w:sz w:val="28"/>
          <w:szCs w:val="28"/>
          <w:highlight w:val="none"/>
          <w:lang w:val="en-US" w:eastAsia="zh-CN"/>
        </w:rPr>
      </w:pPr>
      <w:bookmarkStart w:id="0" w:name="_Toc9537"/>
      <w:bookmarkEnd w:id="0"/>
      <w:bookmarkStart w:id="1" w:name="_Toc19014"/>
      <w:bookmarkEnd w:id="1"/>
      <w:bookmarkStart w:id="2" w:name="_Toc31109"/>
      <w:bookmarkEnd w:id="2"/>
      <w:bookmarkStart w:id="3" w:name="_Toc10413"/>
    </w:p>
    <w:p w14:paraId="5F2B5607">
      <w:pPr>
        <w:pStyle w:val="2"/>
        <w:rPr>
          <w:rFonts w:hint="eastAsia"/>
          <w:lang w:val="en-US" w:eastAsia="zh-CN"/>
        </w:rPr>
      </w:pPr>
    </w:p>
    <w:p w14:paraId="679803C1">
      <w:pPr>
        <w:jc w:val="both"/>
        <w:rPr>
          <w:rFonts w:hint="eastAsia" w:ascii="仿宋" w:hAnsi="仿宋" w:eastAsia="仿宋" w:cs="仿宋"/>
          <w:sz w:val="28"/>
          <w:szCs w:val="28"/>
          <w:highlight w:val="none"/>
          <w:lang w:val="en-US" w:eastAsia="zh-CN"/>
        </w:rPr>
      </w:pPr>
    </w:p>
    <w:p w14:paraId="0D89DA8A">
      <w:pPr>
        <w:jc w:val="center"/>
        <w:rPr>
          <w:rFonts w:hint="eastAsia" w:ascii="仿宋" w:hAnsi="仿宋" w:eastAsia="仿宋" w:cs="仿宋"/>
          <w:b/>
          <w:bCs/>
          <w:sz w:val="72"/>
          <w:szCs w:val="72"/>
          <w:highlight w:val="none"/>
          <w:lang w:val="en-US" w:eastAsia="zh-CN"/>
        </w:rPr>
      </w:pPr>
      <w:r>
        <w:rPr>
          <w:rFonts w:hint="eastAsia" w:ascii="仿宋" w:hAnsi="仿宋" w:eastAsia="仿宋" w:cs="仿宋"/>
          <w:b/>
          <w:bCs/>
          <w:sz w:val="72"/>
          <w:szCs w:val="72"/>
          <w:highlight w:val="none"/>
          <w:lang w:val="en-US" w:eastAsia="zh-CN"/>
        </w:rPr>
        <w:t>淮南市工人文化宫（山南）1- 7层装修装饰项目（一次）</w:t>
      </w:r>
    </w:p>
    <w:p w14:paraId="671BCA52">
      <w:pPr>
        <w:jc w:val="center"/>
        <w:rPr>
          <w:rFonts w:hint="eastAsia" w:ascii="仿宋" w:hAnsi="仿宋" w:eastAsia="仿宋" w:cs="仿宋"/>
          <w:b/>
          <w:bCs/>
          <w:sz w:val="72"/>
          <w:szCs w:val="72"/>
          <w:highlight w:val="none"/>
          <w:lang w:val="en-US" w:eastAsia="zh-CN"/>
        </w:rPr>
      </w:pPr>
      <w:r>
        <w:rPr>
          <w:rFonts w:hint="eastAsia" w:ascii="仿宋" w:hAnsi="仿宋" w:eastAsia="仿宋" w:cs="仿宋"/>
          <w:b/>
          <w:bCs/>
          <w:sz w:val="72"/>
          <w:szCs w:val="72"/>
          <w:highlight w:val="none"/>
          <w:lang w:val="en-US" w:eastAsia="zh-CN"/>
        </w:rPr>
        <w:t>竞争性磋商文件</w:t>
      </w:r>
    </w:p>
    <w:p w14:paraId="503DCC38">
      <w:pPr>
        <w:jc w:val="center"/>
        <w:rPr>
          <w:rFonts w:hint="eastAsia" w:ascii="仿宋" w:hAnsi="仿宋" w:eastAsia="仿宋" w:cs="仿宋"/>
          <w:b/>
          <w:bCs/>
          <w:sz w:val="56"/>
          <w:szCs w:val="56"/>
          <w:highlight w:val="none"/>
          <w:lang w:val="en-US" w:eastAsia="zh-CN"/>
        </w:rPr>
      </w:pPr>
      <w:r>
        <w:rPr>
          <w:rFonts w:hint="eastAsia" w:ascii="仿宋" w:hAnsi="仿宋" w:eastAsia="仿宋" w:cs="仿宋"/>
          <w:b/>
          <w:bCs/>
          <w:sz w:val="56"/>
          <w:szCs w:val="56"/>
          <w:highlight w:val="none"/>
          <w:lang w:val="en-US" w:eastAsia="zh-CN"/>
        </w:rPr>
        <w:t>（工程类）</w:t>
      </w:r>
    </w:p>
    <w:p w14:paraId="592D65BF">
      <w:pPr>
        <w:jc w:val="center"/>
        <w:rPr>
          <w:rFonts w:hint="eastAsia" w:ascii="仿宋" w:hAnsi="仿宋" w:eastAsia="仿宋" w:cs="仿宋"/>
          <w:b/>
          <w:bCs/>
          <w:sz w:val="52"/>
          <w:szCs w:val="52"/>
          <w:highlight w:val="none"/>
          <w:lang w:val="en-US" w:eastAsia="zh-CN"/>
        </w:rPr>
      </w:pPr>
    </w:p>
    <w:p w14:paraId="3DEC766C">
      <w:pPr>
        <w:jc w:val="both"/>
        <w:rPr>
          <w:rFonts w:hint="eastAsia" w:ascii="仿宋" w:hAnsi="仿宋" w:eastAsia="仿宋" w:cs="仿宋"/>
          <w:b/>
          <w:bCs/>
          <w:sz w:val="52"/>
          <w:szCs w:val="52"/>
          <w:highlight w:val="none"/>
          <w:lang w:val="en-US" w:eastAsia="zh-CN"/>
        </w:rPr>
      </w:pPr>
    </w:p>
    <w:p w14:paraId="7CBFCA10">
      <w:pPr>
        <w:jc w:val="center"/>
        <w:rPr>
          <w:rFonts w:hint="eastAsia" w:ascii="仿宋" w:hAnsi="仿宋" w:eastAsia="仿宋" w:cs="仿宋"/>
          <w:b/>
          <w:bCs/>
          <w:sz w:val="52"/>
          <w:szCs w:val="52"/>
          <w:highlight w:val="none"/>
          <w:lang w:val="en-US" w:eastAsia="zh-CN"/>
        </w:rPr>
      </w:pPr>
    </w:p>
    <w:p w14:paraId="00E2AF5A">
      <w:pPr>
        <w:jc w:val="center"/>
        <w:rPr>
          <w:rFonts w:hint="eastAsia" w:ascii="仿宋" w:hAnsi="仿宋" w:eastAsia="仿宋" w:cs="仿宋"/>
          <w:b/>
          <w:bCs/>
          <w:sz w:val="52"/>
          <w:szCs w:val="52"/>
          <w:highlight w:val="none"/>
          <w:lang w:val="en-US" w:eastAsia="zh-CN"/>
        </w:rPr>
      </w:pPr>
    </w:p>
    <w:p w14:paraId="1751D342">
      <w:pPr>
        <w:keepNext w:val="0"/>
        <w:keepLines w:val="0"/>
        <w:widowControl/>
        <w:suppressLineNumbers w:val="0"/>
        <w:ind w:firstLine="1280" w:firstLineChars="400"/>
        <w:jc w:val="left"/>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采 购 人：</w:t>
      </w:r>
      <w:r>
        <w:rPr>
          <w:rFonts w:hint="eastAsia" w:ascii="仿宋" w:hAnsi="仿宋" w:eastAsia="仿宋" w:cs="仿宋"/>
          <w:sz w:val="32"/>
          <w:szCs w:val="32"/>
          <w:highlight w:val="none"/>
          <w:u w:val="single"/>
          <w:lang w:eastAsia="zh-CN"/>
        </w:rPr>
        <w:t>淮南市总工会</w:t>
      </w:r>
    </w:p>
    <w:p w14:paraId="3CB81CB1">
      <w:pPr>
        <w:keepNext w:val="0"/>
        <w:keepLines w:val="0"/>
        <w:widowControl/>
        <w:suppressLineNumbers w:val="0"/>
        <w:ind w:firstLine="1280" w:firstLineChars="400"/>
        <w:jc w:val="left"/>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采购代理：</w:t>
      </w:r>
      <w:r>
        <w:rPr>
          <w:rFonts w:hint="eastAsia" w:ascii="仿宋" w:hAnsi="仿宋" w:eastAsia="仿宋" w:cs="仿宋"/>
          <w:sz w:val="32"/>
          <w:szCs w:val="32"/>
          <w:highlight w:val="none"/>
          <w:u w:val="single"/>
          <w:lang w:eastAsia="zh-CN"/>
        </w:rPr>
        <w:t>安徽泓昌建设项目管理有限公司</w:t>
      </w:r>
    </w:p>
    <w:p w14:paraId="55FAE768">
      <w:pPr>
        <w:keepNext w:val="0"/>
        <w:keepLines w:val="0"/>
        <w:widowControl/>
        <w:suppressLineNumbers w:val="0"/>
        <w:ind w:firstLine="1280" w:firstLineChars="400"/>
        <w:jc w:val="left"/>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日    期：</w:t>
      </w:r>
      <w:r>
        <w:rPr>
          <w:rFonts w:hint="eastAsia" w:ascii="仿宋" w:hAnsi="仿宋" w:eastAsia="仿宋" w:cs="仿宋"/>
          <w:b w:val="0"/>
          <w:bCs w:val="0"/>
          <w:color w:val="000000"/>
          <w:kern w:val="0"/>
          <w:sz w:val="32"/>
          <w:szCs w:val="32"/>
          <w:highlight w:val="none"/>
          <w:u w:val="single"/>
          <w:lang w:val="en-US" w:eastAsia="zh-CN" w:bidi="ar"/>
        </w:rPr>
        <w:t>2025年10月14日</w:t>
      </w:r>
    </w:p>
    <w:p w14:paraId="78E68018">
      <w:pPr>
        <w:tabs>
          <w:tab w:val="left" w:pos="563"/>
        </w:tabs>
        <w:spacing w:before="54"/>
        <w:ind w:right="133"/>
        <w:jc w:val="center"/>
        <w:rPr>
          <w:rFonts w:hint="eastAsia" w:ascii="仿宋" w:hAnsi="仿宋" w:eastAsia="仿宋" w:cs="仿宋"/>
          <w:b/>
          <w:sz w:val="44"/>
          <w:szCs w:val="44"/>
          <w:highlight w:val="none"/>
        </w:rPr>
      </w:pPr>
    </w:p>
    <w:p w14:paraId="31A190BB">
      <w:pPr>
        <w:pStyle w:val="19"/>
        <w:widowControl/>
        <w:autoSpaceDE w:val="0"/>
        <w:spacing w:line="720" w:lineRule="auto"/>
        <w:ind w:left="0" w:leftChars="0" w:firstLine="0" w:firstLineChars="0"/>
        <w:jc w:val="both"/>
        <w:rPr>
          <w:rFonts w:hint="eastAsia" w:ascii="仿宋" w:hAnsi="仿宋" w:eastAsia="仿宋" w:cs="仿宋"/>
          <w:b/>
          <w:bCs/>
          <w:sz w:val="44"/>
          <w:szCs w:val="44"/>
          <w:highlight w:val="none"/>
        </w:rPr>
      </w:pPr>
    </w:p>
    <w:p w14:paraId="18E22CC7">
      <w:pPr>
        <w:ind w:firstLine="883" w:firstLineChars="200"/>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br w:type="page"/>
      </w:r>
    </w:p>
    <w:p w14:paraId="0CE892E5">
      <w:pPr>
        <w:pStyle w:val="19"/>
        <w:widowControl/>
        <w:autoSpaceDE w:val="0"/>
        <w:spacing w:line="360" w:lineRule="auto"/>
        <w:ind w:firstLine="4417" w:firstLineChars="1000"/>
        <w:jc w:val="both"/>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目</w:t>
      </w:r>
      <w:bookmarkEnd w:id="3"/>
      <w:r>
        <w:rPr>
          <w:rFonts w:hint="eastAsia" w:ascii="仿宋" w:hAnsi="仿宋" w:eastAsia="仿宋" w:cs="仿宋"/>
          <w:b/>
          <w:bCs/>
          <w:sz w:val="44"/>
          <w:szCs w:val="44"/>
          <w:highlight w:val="none"/>
        </w:rPr>
        <w:tab/>
      </w:r>
      <w:r>
        <w:rPr>
          <w:rFonts w:hint="eastAsia" w:ascii="仿宋" w:hAnsi="仿宋" w:eastAsia="仿宋" w:cs="仿宋"/>
          <w:b/>
          <w:bCs/>
          <w:sz w:val="44"/>
          <w:szCs w:val="44"/>
          <w:highlight w:val="none"/>
        </w:rPr>
        <w:t xml:space="preserve">  录</w:t>
      </w:r>
    </w:p>
    <w:sdt>
      <w:sdtPr>
        <w:rPr>
          <w:rFonts w:ascii="宋体" w:hAnsi="宋体" w:eastAsia="宋体" w:cs="Times New Roman"/>
          <w:kern w:val="2"/>
          <w:sz w:val="21"/>
          <w:szCs w:val="21"/>
          <w:highlight w:val="none"/>
          <w:lang w:val="en-US" w:eastAsia="zh-CN" w:bidi="ar-SA"/>
        </w:rPr>
        <w:id w:val="147480428"/>
        <w15:color w:val="DBDBDB"/>
        <w:docPartObj>
          <w:docPartGallery w:val="Table of Contents"/>
          <w:docPartUnique/>
        </w:docPartObj>
      </w:sdtPr>
      <w:sdtEndPr>
        <w:rPr>
          <w:rFonts w:hint="eastAsia" w:ascii="仿宋" w:hAnsi="仿宋" w:eastAsia="仿宋" w:cs="仿宋"/>
          <w:kern w:val="2"/>
          <w:sz w:val="24"/>
          <w:szCs w:val="24"/>
          <w:highlight w:val="none"/>
          <w:lang w:val="en-US" w:eastAsia="zh-CN" w:bidi="ar-SA"/>
        </w:rPr>
      </w:sdtEndPr>
      <w:sdtContent>
        <w:p w14:paraId="0148A305">
          <w:pPr>
            <w:spacing w:before="0" w:beforeLines="0" w:after="0" w:afterLines="0" w:line="240" w:lineRule="auto"/>
            <w:ind w:left="0" w:leftChars="0" w:right="0" w:rightChars="0" w:firstLine="0" w:firstLineChars="0"/>
            <w:jc w:val="center"/>
            <w:rPr>
              <w:highlight w:val="none"/>
            </w:rPr>
          </w:pPr>
        </w:p>
        <w:p w14:paraId="46FE329D">
          <w:pPr>
            <w:pStyle w:val="75"/>
            <w:tabs>
              <w:tab w:val="right" w:leader="dot" w:pos="9643"/>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"1-1"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_Toc8228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第一章 竞争性磋商公告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_Toc8228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6A599DF">
          <w:pPr>
            <w:pStyle w:val="75"/>
            <w:tabs>
              <w:tab w:val="right" w:leader="dot" w:pos="9643"/>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_Toc29650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第二章 供应商须知前附表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_Toc29650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D7D9DB7">
          <w:pPr>
            <w:pStyle w:val="75"/>
            <w:tabs>
              <w:tab w:val="right" w:leader="dot" w:pos="9643"/>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_Toc31538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_Toc31538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9718BC8">
          <w:pPr>
            <w:pStyle w:val="75"/>
            <w:tabs>
              <w:tab w:val="right" w:leader="dot" w:pos="9643"/>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_Toc24709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第四章 采购需求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_Toc24709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E3371ED">
          <w:pPr>
            <w:pStyle w:val="75"/>
            <w:tabs>
              <w:tab w:val="right" w:leader="dot" w:pos="9643"/>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第五章 评审方法和标准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_Toc19688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50D3489">
          <w:pPr>
            <w:pStyle w:val="75"/>
            <w:tabs>
              <w:tab w:val="right" w:leader="dot" w:pos="9643"/>
            </w:tabs>
            <w:spacing w:line="48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_Toc14075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第六章 政府采购合同</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7</w:t>
          </w:r>
        </w:p>
        <w:p w14:paraId="5A6A78CF">
          <w:pPr>
            <w:pStyle w:val="75"/>
            <w:tabs>
              <w:tab w:val="right" w:leader="dot" w:pos="9643"/>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_Toc28661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第七章 磋商响应文件格式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_Toc28661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8C182F0">
          <w:pPr>
            <w:pStyle w:val="75"/>
            <w:tabs>
              <w:tab w:val="right" w:leader="dot" w:pos="9643"/>
            </w:tabs>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_Toc21367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第八章 最终报价或第   次报价表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_Toc21367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4D4C72A">
          <w:pPr>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end"/>
          </w:r>
        </w:p>
      </w:sdtContent>
    </w:sdt>
    <w:p w14:paraId="16FDB721">
      <w:pPr>
        <w:pStyle w:val="5"/>
        <w:ind w:right="-21" w:firstLine="540"/>
        <w:rPr>
          <w:rFonts w:hint="eastAsia" w:ascii="仿宋" w:hAnsi="仿宋" w:eastAsia="仿宋" w:cs="仿宋"/>
          <w:highlight w:val="none"/>
        </w:rPr>
      </w:pPr>
    </w:p>
    <w:p w14:paraId="342181B9">
      <w:pPr>
        <w:rPr>
          <w:rFonts w:hint="eastAsia" w:ascii="仿宋" w:hAnsi="仿宋" w:eastAsia="仿宋" w:cs="仿宋"/>
          <w:highlight w:val="none"/>
        </w:rPr>
      </w:pPr>
    </w:p>
    <w:p w14:paraId="29293327">
      <w:pPr>
        <w:pStyle w:val="7"/>
        <w:widowControl/>
        <w:spacing w:line="720" w:lineRule="auto"/>
        <w:ind w:firstLine="562" w:firstLineChars="200"/>
        <w:jc w:val="center"/>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7BD1A3A">
      <w:pPr>
        <w:pStyle w:val="7"/>
        <w:jc w:val="center"/>
        <w:outlineLvl w:val="9"/>
        <w:rPr>
          <w:rFonts w:hint="eastAsia" w:ascii="仿宋" w:hAnsi="仿宋" w:eastAsia="仿宋" w:cs="仿宋"/>
          <w:sz w:val="28"/>
          <w:szCs w:val="28"/>
          <w:highlight w:val="none"/>
        </w:rPr>
        <w:sectPr>
          <w:footerReference r:id="rId3" w:type="default"/>
          <w:pgSz w:w="11911" w:h="16849"/>
          <w:pgMar w:top="1134" w:right="1134" w:bottom="1134" w:left="1134" w:header="720" w:footer="720" w:gutter="0"/>
          <w:pgNumType w:fmt="decimal" w:start="1"/>
          <w:cols w:space="0" w:num="1"/>
          <w:rtlGutter w:val="0"/>
          <w:docGrid w:type="lines" w:linePitch="317" w:charSpace="0"/>
        </w:sectPr>
      </w:pPr>
      <w:bookmarkStart w:id="4" w:name="第一章__磋商公告"/>
      <w:bookmarkEnd w:id="4"/>
      <w:bookmarkStart w:id="5" w:name="_Toc29564"/>
      <w:bookmarkStart w:id="6" w:name="_Toc18950"/>
    </w:p>
    <w:p w14:paraId="5D0C9212">
      <w:pPr>
        <w:pStyle w:val="7"/>
        <w:bidi w:val="0"/>
        <w:jc w:val="center"/>
        <w:rPr>
          <w:rFonts w:hint="eastAsia" w:ascii="仿宋" w:hAnsi="仿宋" w:eastAsia="仿宋" w:cs="仿宋"/>
          <w:sz w:val="40"/>
          <w:szCs w:val="40"/>
          <w:highlight w:val="none"/>
          <w:lang w:val="en-US" w:eastAsia="zh-CN"/>
        </w:rPr>
      </w:pPr>
      <w:bookmarkStart w:id="7" w:name="_Toc8228"/>
      <w:r>
        <w:rPr>
          <w:rFonts w:hint="eastAsia" w:ascii="仿宋" w:hAnsi="仿宋" w:eastAsia="仿宋" w:cs="仿宋"/>
          <w:sz w:val="40"/>
          <w:szCs w:val="40"/>
          <w:highlight w:val="none"/>
          <w:lang w:val="en-US" w:eastAsia="zh-CN"/>
        </w:rPr>
        <w:t>第一章 竞争性磋商公告</w:t>
      </w:r>
      <w:bookmarkEnd w:id="5"/>
      <w:bookmarkEnd w:id="7"/>
    </w:p>
    <w:p w14:paraId="13106D85">
      <w:pPr>
        <w:numPr>
          <w:ilvl w:val="0"/>
          <w:numId w:val="0"/>
        </w:numPr>
        <w:rPr>
          <w:rFonts w:hint="eastAsia"/>
          <w:highlight w:val="none"/>
        </w:rPr>
      </w:pPr>
    </w:p>
    <w:p w14:paraId="2622FB7D">
      <w:pPr>
        <w:pStyle w:val="21"/>
        <w:widowControl w:val="0"/>
        <w:adjustRightInd w:val="0"/>
        <w:snapToGrid w:val="0"/>
        <w:spacing w:before="0" w:beforeAutospacing="0" w:after="0" w:afterAutospacing="0"/>
        <w:contextualSpacing/>
        <w:jc w:val="center"/>
        <w:rPr>
          <w:rFonts w:hint="eastAsia" w:ascii="华文中宋" w:hAnsi="华文中宋" w:eastAsia="华文中宋" w:cs="华文中宋"/>
          <w:b/>
          <w:bCs/>
          <w:color w:val="auto"/>
          <w:kern w:val="2"/>
          <w:sz w:val="44"/>
          <w:szCs w:val="44"/>
          <w:highlight w:val="none"/>
          <w:lang w:val="zh-CN" w:eastAsia="zh-CN"/>
        </w:rPr>
      </w:pPr>
      <w:bookmarkStart w:id="8" w:name="_Toc28381"/>
      <w:bookmarkStart w:id="9" w:name="_Toc31852"/>
      <w:r>
        <w:rPr>
          <w:rFonts w:hint="eastAsia" w:ascii="华文中宋" w:hAnsi="华文中宋" w:eastAsia="华文中宋" w:cs="华文中宋"/>
          <w:b/>
          <w:bCs/>
          <w:color w:val="auto"/>
          <w:kern w:val="2"/>
          <w:sz w:val="44"/>
          <w:szCs w:val="44"/>
          <w:highlight w:val="none"/>
          <w:lang w:val="zh-CN" w:eastAsia="zh-CN"/>
        </w:rPr>
        <w:t>淮南市工人文化宫（山南）1-</w:t>
      </w:r>
      <w:r>
        <w:rPr>
          <w:rFonts w:hint="eastAsia" w:ascii="华文中宋" w:hAnsi="华文中宋" w:eastAsia="华文中宋" w:cs="华文中宋"/>
          <w:b/>
          <w:bCs/>
          <w:color w:val="auto"/>
          <w:kern w:val="2"/>
          <w:sz w:val="44"/>
          <w:szCs w:val="44"/>
          <w:highlight w:val="none"/>
          <w:lang w:val="en-US" w:eastAsia="zh-CN"/>
        </w:rPr>
        <w:t xml:space="preserve"> 7</w:t>
      </w:r>
      <w:r>
        <w:rPr>
          <w:rFonts w:hint="eastAsia" w:ascii="华文中宋" w:hAnsi="华文中宋" w:eastAsia="华文中宋" w:cs="华文中宋"/>
          <w:b/>
          <w:bCs/>
          <w:color w:val="auto"/>
          <w:kern w:val="2"/>
          <w:sz w:val="44"/>
          <w:szCs w:val="44"/>
          <w:highlight w:val="none"/>
          <w:lang w:val="zh-CN" w:eastAsia="zh-CN"/>
        </w:rPr>
        <w:t>层装修装饰项目</w:t>
      </w:r>
    </w:p>
    <w:p w14:paraId="72B3D8D9">
      <w:pPr>
        <w:pStyle w:val="21"/>
        <w:widowControl w:val="0"/>
        <w:adjustRightInd w:val="0"/>
        <w:snapToGrid w:val="0"/>
        <w:spacing w:before="0" w:beforeAutospacing="0" w:after="0" w:afterAutospacing="0"/>
        <w:contextualSpacing/>
        <w:jc w:val="center"/>
        <w:rPr>
          <w:rFonts w:hint="eastAsia" w:ascii="华文中宋" w:hAnsi="华文中宋" w:eastAsia="华文中宋" w:cs="华文中宋"/>
          <w:b/>
          <w:bCs/>
          <w:color w:val="auto"/>
          <w:kern w:val="2"/>
          <w:sz w:val="44"/>
          <w:szCs w:val="44"/>
          <w:highlight w:val="none"/>
        </w:rPr>
      </w:pPr>
      <w:r>
        <w:rPr>
          <w:rFonts w:hint="eastAsia" w:ascii="华文中宋" w:hAnsi="华文中宋" w:eastAsia="华文中宋" w:cs="华文中宋"/>
          <w:b/>
          <w:bCs/>
          <w:color w:val="auto"/>
          <w:kern w:val="2"/>
          <w:sz w:val="44"/>
          <w:szCs w:val="44"/>
          <w:highlight w:val="none"/>
          <w:lang w:val="zh-CN" w:eastAsia="zh-CN"/>
        </w:rPr>
        <w:t>（一次）</w:t>
      </w:r>
      <w:r>
        <w:rPr>
          <w:rFonts w:hint="eastAsia" w:ascii="华文中宋" w:hAnsi="华文中宋" w:eastAsia="华文中宋" w:cs="华文中宋"/>
          <w:b/>
          <w:bCs/>
          <w:color w:val="auto"/>
          <w:kern w:val="2"/>
          <w:sz w:val="44"/>
          <w:szCs w:val="44"/>
          <w:highlight w:val="none"/>
          <w:lang w:val="zh-CN"/>
        </w:rPr>
        <w:t>竞争性</w:t>
      </w:r>
      <w:r>
        <w:rPr>
          <w:rFonts w:hint="eastAsia" w:ascii="华文中宋" w:hAnsi="华文中宋" w:eastAsia="华文中宋" w:cs="华文中宋"/>
          <w:b/>
          <w:bCs/>
          <w:color w:val="auto"/>
          <w:kern w:val="2"/>
          <w:sz w:val="44"/>
          <w:szCs w:val="44"/>
          <w:highlight w:val="none"/>
        </w:rPr>
        <w:t>磋商</w:t>
      </w:r>
      <w:r>
        <w:rPr>
          <w:rFonts w:hint="eastAsia" w:ascii="华文中宋" w:hAnsi="华文中宋" w:eastAsia="华文中宋" w:cs="华文中宋"/>
          <w:b/>
          <w:bCs/>
          <w:color w:val="auto"/>
          <w:kern w:val="2"/>
          <w:sz w:val="44"/>
          <w:szCs w:val="44"/>
          <w:highlight w:val="none"/>
          <w:lang w:val="zh-CN"/>
        </w:rPr>
        <w:t>公告</w:t>
      </w:r>
      <w:bookmarkEnd w:id="8"/>
      <w:bookmarkEnd w:id="9"/>
    </w:p>
    <w:bookmarkEnd w:id="6"/>
    <w:p w14:paraId="50E21E1D">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ascii="仿宋" w:hAnsi="仿宋" w:cs="宋体"/>
          <w:snapToGrid/>
          <w:color w:val="000000" w:themeColor="text1"/>
          <w:kern w:val="0"/>
          <w:sz w:val="28"/>
          <w:szCs w:val="28"/>
          <w:highlight w:val="none"/>
          <w:shd w:val="clear" w:color="auto" w:fill="auto"/>
          <w14:textFill>
            <w14:solidFill>
              <w14:schemeClr w14:val="tx1"/>
            </w14:solidFill>
          </w14:textFill>
        </w:rPr>
      </w:pPr>
      <w:r>
        <w:rPr>
          <w:rFonts w:ascii="仿宋" w:hAnsi="仿宋" w:eastAsia="黑体" w:cs="黑体"/>
          <w:snapToGrid/>
          <w:color w:val="000000" w:themeColor="text1"/>
          <w:kern w:val="0"/>
          <w:sz w:val="28"/>
          <w:szCs w:val="28"/>
          <w:highlight w:val="none"/>
          <w:shd w:val="clear" w:color="auto" w:fill="auto"/>
          <w14:textFill>
            <w14:solidFill>
              <w14:schemeClr w14:val="tx1"/>
            </w14:solidFill>
          </w14:textFill>
        </w:rPr>
        <w:t>项目概况</w:t>
      </w:r>
    </w:p>
    <w:p w14:paraId="3A9493CD">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jc w:val="both"/>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Style w:val="41"/>
          <w:rFonts w:hint="eastAsia" w:ascii="仿宋" w:hAnsi="仿宋" w:eastAsia="仿宋" w:cs="仿宋"/>
          <w:color w:val="000000" w:themeColor="text1"/>
          <w:kern w:val="0"/>
          <w:sz w:val="28"/>
          <w:szCs w:val="28"/>
          <w:highlight w:val="none"/>
          <w:u w:val="single"/>
          <w:lang w:val="zh-CN" w:eastAsia="zh-CN"/>
          <w14:textFill>
            <w14:solidFill>
              <w14:schemeClr w14:val="tx1"/>
            </w14:solidFill>
          </w14:textFill>
        </w:rPr>
        <w:t>淮南市工人文化宫（山南）1- 7层装修装饰项目</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采购</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项目的潜在</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供应商</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应在</w:t>
      </w:r>
      <w:r>
        <w:rPr>
          <w:rFonts w:hint="eastAsia" w:ascii="仿宋" w:hAnsi="仿宋" w:eastAsia="仿宋" w:cs="仿宋"/>
          <w:snapToGrid/>
          <w:color w:val="000000" w:themeColor="text1"/>
          <w:kern w:val="0"/>
          <w:sz w:val="28"/>
          <w:szCs w:val="28"/>
          <w:highlight w:val="none"/>
          <w:u w:val="single"/>
          <w:shd w:val="clear" w:color="auto" w:fill="auto"/>
          <w:lang w:eastAsia="zh-CN"/>
          <w14:textFill>
            <w14:solidFill>
              <w14:schemeClr w14:val="tx1"/>
            </w14:solidFill>
          </w14:textFill>
        </w:rPr>
        <w:t>安徽泓昌建设项目管理有限公司</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获取</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采购</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文件，并于</w:t>
      </w:r>
      <w:r>
        <w:rPr>
          <w:rFonts w:hint="eastAsia" w:ascii="仿宋" w:hAnsi="仿宋" w:eastAsia="仿宋" w:cs="仿宋"/>
          <w:snapToGrid/>
          <w:color w:val="000000" w:themeColor="text1"/>
          <w:kern w:val="0"/>
          <w:sz w:val="28"/>
          <w:szCs w:val="28"/>
          <w:highlight w:val="none"/>
          <w:u w:val="single"/>
          <w:shd w:val="clear" w:color="auto" w:fill="auto"/>
          <w:lang w:val="en-US" w:eastAsia="zh-CN"/>
          <w14:textFill>
            <w14:solidFill>
              <w14:schemeClr w14:val="tx1"/>
            </w14:solidFill>
          </w14:textFill>
        </w:rPr>
        <w:t>2025</w:t>
      </w:r>
      <w:bookmarkStart w:id="1150" w:name="_GoBack"/>
      <w:bookmarkEnd w:id="1150"/>
      <w:r>
        <w:rPr>
          <w:rFonts w:hint="eastAsia" w:ascii="仿宋" w:hAnsi="仿宋" w:eastAsia="仿宋" w:cs="仿宋"/>
          <w:snapToGrid/>
          <w:color w:val="000000" w:themeColor="text1"/>
          <w:kern w:val="0"/>
          <w:sz w:val="28"/>
          <w:szCs w:val="28"/>
          <w:highlight w:val="none"/>
          <w:u w:val="single"/>
          <w:shd w:val="clear" w:color="auto" w:fill="auto"/>
          <w14:textFill>
            <w14:solidFill>
              <w14:schemeClr w14:val="tx1"/>
            </w14:solidFill>
          </w14:textFill>
        </w:rPr>
        <w:t>年</w:t>
      </w:r>
      <w:r>
        <w:rPr>
          <w:rFonts w:hint="eastAsia" w:ascii="仿宋" w:hAnsi="仿宋" w:eastAsia="仿宋" w:cs="仿宋"/>
          <w:snapToGrid/>
          <w:color w:val="000000" w:themeColor="text1"/>
          <w:kern w:val="0"/>
          <w:sz w:val="28"/>
          <w:szCs w:val="28"/>
          <w:highlight w:val="none"/>
          <w:u w:val="single"/>
          <w:shd w:val="clear" w:color="auto" w:fill="auto"/>
          <w:lang w:val="en-US" w:eastAsia="zh-CN"/>
          <w14:textFill>
            <w14:solidFill>
              <w14:schemeClr w14:val="tx1"/>
            </w14:solidFill>
          </w14:textFill>
        </w:rPr>
        <w:t>10</w:t>
      </w:r>
      <w:r>
        <w:rPr>
          <w:rFonts w:hint="eastAsia" w:ascii="仿宋" w:hAnsi="仿宋" w:eastAsia="仿宋" w:cs="仿宋"/>
          <w:snapToGrid/>
          <w:color w:val="000000" w:themeColor="text1"/>
          <w:kern w:val="0"/>
          <w:sz w:val="28"/>
          <w:szCs w:val="28"/>
          <w:highlight w:val="none"/>
          <w:u w:val="single"/>
          <w:shd w:val="clear" w:color="auto" w:fill="auto"/>
          <w14:textFill>
            <w14:solidFill>
              <w14:schemeClr w14:val="tx1"/>
            </w14:solidFill>
          </w14:textFill>
        </w:rPr>
        <w:t>月</w:t>
      </w:r>
      <w:r>
        <w:rPr>
          <w:rFonts w:hint="eastAsia" w:ascii="仿宋" w:hAnsi="仿宋" w:eastAsia="仿宋" w:cs="仿宋"/>
          <w:snapToGrid/>
          <w:color w:val="000000" w:themeColor="text1"/>
          <w:kern w:val="0"/>
          <w:sz w:val="28"/>
          <w:szCs w:val="28"/>
          <w:highlight w:val="none"/>
          <w:u w:val="single"/>
          <w:shd w:val="clear" w:color="auto" w:fill="auto"/>
          <w:lang w:val="en-US" w:eastAsia="zh-CN"/>
          <w14:textFill>
            <w14:solidFill>
              <w14:schemeClr w14:val="tx1"/>
            </w14:solidFill>
          </w14:textFill>
        </w:rPr>
        <w:t>24</w:t>
      </w:r>
      <w:r>
        <w:rPr>
          <w:rFonts w:hint="eastAsia" w:ascii="仿宋" w:hAnsi="仿宋" w:eastAsia="仿宋" w:cs="仿宋"/>
          <w:snapToGrid/>
          <w:color w:val="000000" w:themeColor="text1"/>
          <w:kern w:val="0"/>
          <w:sz w:val="28"/>
          <w:szCs w:val="28"/>
          <w:highlight w:val="none"/>
          <w:u w:val="single"/>
          <w:shd w:val="clear" w:color="auto" w:fill="auto"/>
          <w14:textFill>
            <w14:solidFill>
              <w14:schemeClr w14:val="tx1"/>
            </w14:solidFill>
          </w14:textFill>
        </w:rPr>
        <w:t>日</w:t>
      </w:r>
      <w:r>
        <w:rPr>
          <w:rFonts w:hint="eastAsia" w:ascii="仿宋" w:hAnsi="仿宋" w:eastAsia="仿宋" w:cs="仿宋"/>
          <w:snapToGrid/>
          <w:color w:val="000000" w:themeColor="text1"/>
          <w:kern w:val="0"/>
          <w:sz w:val="28"/>
          <w:szCs w:val="28"/>
          <w:highlight w:val="none"/>
          <w:u w:val="single"/>
          <w:shd w:val="clear" w:color="auto" w:fill="auto"/>
          <w:lang w:val="en-US" w:eastAsia="zh-CN"/>
          <w14:textFill>
            <w14:solidFill>
              <w14:schemeClr w14:val="tx1"/>
            </w14:solidFill>
          </w14:textFill>
        </w:rPr>
        <w:t>9</w:t>
      </w:r>
      <w:r>
        <w:rPr>
          <w:rFonts w:hint="eastAsia" w:ascii="仿宋" w:hAnsi="仿宋" w:eastAsia="仿宋" w:cs="仿宋"/>
          <w:snapToGrid/>
          <w:color w:val="000000" w:themeColor="text1"/>
          <w:kern w:val="0"/>
          <w:sz w:val="28"/>
          <w:szCs w:val="28"/>
          <w:highlight w:val="none"/>
          <w:u w:val="single"/>
          <w:shd w:val="clear" w:color="auto" w:fill="auto"/>
          <w14:textFill>
            <w14:solidFill>
              <w14:schemeClr w14:val="tx1"/>
            </w14:solidFill>
          </w14:textFill>
        </w:rPr>
        <w:t>点</w:t>
      </w:r>
      <w:r>
        <w:rPr>
          <w:rFonts w:hint="eastAsia" w:ascii="仿宋" w:hAnsi="仿宋" w:eastAsia="仿宋" w:cs="仿宋"/>
          <w:snapToGrid/>
          <w:color w:val="000000" w:themeColor="text1"/>
          <w:kern w:val="0"/>
          <w:sz w:val="28"/>
          <w:szCs w:val="28"/>
          <w:highlight w:val="none"/>
          <w:u w:val="single"/>
          <w:shd w:val="clear" w:color="auto" w:fill="auto"/>
          <w:lang w:val="en-US" w:eastAsia="zh-CN"/>
          <w14:textFill>
            <w14:solidFill>
              <w14:schemeClr w14:val="tx1"/>
            </w14:solidFill>
          </w14:textFill>
        </w:rPr>
        <w:t>00</w:t>
      </w:r>
      <w:r>
        <w:rPr>
          <w:rFonts w:hint="eastAsia" w:ascii="仿宋" w:hAnsi="仿宋" w:eastAsia="仿宋" w:cs="仿宋"/>
          <w:snapToGrid/>
          <w:color w:val="000000" w:themeColor="text1"/>
          <w:kern w:val="0"/>
          <w:sz w:val="28"/>
          <w:szCs w:val="28"/>
          <w:highlight w:val="none"/>
          <w:u w:val="single"/>
          <w:shd w:val="clear" w:color="auto" w:fill="auto"/>
          <w14:textFill>
            <w14:solidFill>
              <w14:schemeClr w14:val="tx1"/>
            </w14:solidFill>
          </w14:textFill>
        </w:rPr>
        <w:t>分</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（北京时间）前</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提</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交</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响应</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文件。</w:t>
      </w:r>
    </w:p>
    <w:p w14:paraId="2E6DB368">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ascii="仿宋" w:hAnsi="仿宋" w:eastAsia="黑体" w:cs="黑体"/>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黑体" w:cs="黑体"/>
          <w:snapToGrid/>
          <w:color w:val="000000" w:themeColor="text1"/>
          <w:kern w:val="0"/>
          <w:sz w:val="28"/>
          <w:szCs w:val="28"/>
          <w:highlight w:val="none"/>
          <w:shd w:val="clear" w:color="auto" w:fill="auto"/>
          <w14:textFill>
            <w14:solidFill>
              <w14:schemeClr w14:val="tx1"/>
            </w14:solidFill>
          </w14:textFill>
        </w:rPr>
        <w:t>一、项目基本情况</w:t>
      </w:r>
    </w:p>
    <w:p w14:paraId="11CABB2C">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jc w:val="both"/>
        <w:textAlignment w:val="auto"/>
        <w:rPr>
          <w:rFonts w:hint="default"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项目编号：</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HNSZGH-CS-20251014</w:t>
      </w:r>
    </w:p>
    <w:p w14:paraId="37862828">
      <w:pPr>
        <w:pStyle w:val="21"/>
        <w:keepNext w:val="0"/>
        <w:keepLines w:val="0"/>
        <w:pageBreakBefore w:val="0"/>
        <w:kinsoku/>
        <w:wordWrap w:val="0"/>
        <w:overflowPunct/>
        <w:topLinePunct w:val="0"/>
        <w:autoSpaceDE/>
        <w:autoSpaceDN/>
        <w:bidi w:val="0"/>
        <w:adjustRightInd/>
        <w:snapToGrid/>
        <w:spacing w:before="157" w:beforeLines="50" w:beforeAutospacing="0" w:after="157" w:afterLines="50" w:afterAutospacing="0"/>
        <w:ind w:leftChars="0" w:firstLine="560" w:firstLineChars="200"/>
        <w:textAlignment w:val="baseline"/>
        <w:rPr>
          <w:rStyle w:val="41"/>
          <w:rFonts w:hint="eastAsia" w:ascii="仿宋" w:hAnsi="仿宋" w:eastAsia="仿宋" w:cs="仿宋"/>
          <w:color w:val="000000" w:themeColor="text1"/>
          <w:kern w:val="0"/>
          <w:sz w:val="28"/>
          <w:szCs w:val="28"/>
          <w:highlight w:val="none"/>
          <w:lang w:val="en-US"/>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项目名称：</w:t>
      </w:r>
      <w:r>
        <w:rPr>
          <w:rStyle w:val="41"/>
          <w:rFonts w:hint="eastAsia" w:ascii="仿宋" w:hAnsi="仿宋" w:eastAsia="仿宋" w:cs="仿宋"/>
          <w:color w:val="000000" w:themeColor="text1"/>
          <w:kern w:val="0"/>
          <w:sz w:val="28"/>
          <w:szCs w:val="28"/>
          <w:highlight w:val="none"/>
          <w:lang w:val="en-US" w:eastAsia="zh-CN"/>
          <w14:textFill>
            <w14:solidFill>
              <w14:schemeClr w14:val="tx1"/>
            </w14:solidFill>
          </w14:textFill>
        </w:rPr>
        <w:t>淮南市工人文化宫（山南）1- 7层装修装饰项目</w:t>
      </w:r>
    </w:p>
    <w:p w14:paraId="639772B2">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jc w:val="both"/>
        <w:textAlignment w:val="auto"/>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采购方式：竞争性</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磋商</w:t>
      </w:r>
    </w:p>
    <w:p w14:paraId="655E10EC">
      <w:pPr>
        <w:pStyle w:val="21"/>
        <w:keepNext w:val="0"/>
        <w:keepLines w:val="0"/>
        <w:pageBreakBefore w:val="0"/>
        <w:kinsoku/>
        <w:wordWrap w:val="0"/>
        <w:overflowPunct/>
        <w:topLinePunct w:val="0"/>
        <w:autoSpaceDE/>
        <w:autoSpaceDN/>
        <w:bidi w:val="0"/>
        <w:adjustRightInd/>
        <w:snapToGrid/>
        <w:spacing w:before="157" w:beforeLines="50" w:beforeAutospacing="0" w:after="157" w:afterLines="50" w:afterAutospacing="0"/>
        <w:ind w:leftChars="0" w:firstLine="560" w:firstLineChars="200"/>
        <w:textAlignment w:val="baseline"/>
        <w:rPr>
          <w:rStyle w:val="41"/>
          <w:rFonts w:hint="eastAsia" w:ascii="仿宋" w:hAnsi="仿宋" w:eastAsia="仿宋" w:cs="仿宋"/>
          <w:color w:val="000000" w:themeColor="text1"/>
          <w:kern w:val="0"/>
          <w:sz w:val="28"/>
          <w:szCs w:val="28"/>
          <w:highlight w:val="none"/>
          <w:u w:val="none"/>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预算金额：</w:t>
      </w:r>
      <w:r>
        <w:rPr>
          <w:rStyle w:val="41"/>
          <w:rFonts w:hint="eastAsia" w:ascii="仿宋" w:hAnsi="仿宋" w:eastAsia="仿宋" w:cs="仿宋"/>
          <w:color w:val="000000" w:themeColor="text1"/>
          <w:kern w:val="0"/>
          <w:sz w:val="28"/>
          <w:szCs w:val="28"/>
          <w:highlight w:val="none"/>
          <w:u w:val="none"/>
          <w:lang w:val="en-US"/>
          <w14:textFill>
            <w14:solidFill>
              <w14:schemeClr w14:val="tx1"/>
            </w14:solidFill>
          </w14:textFill>
        </w:rPr>
        <w:t>361155.9</w:t>
      </w:r>
      <w:r>
        <w:rPr>
          <w:rFonts w:hint="eastAsia" w:ascii="仿宋" w:hAnsi="仿宋" w:eastAsia="仿宋" w:cs="仿宋"/>
          <w:color w:val="000000" w:themeColor="text1"/>
          <w:kern w:val="0"/>
          <w:sz w:val="28"/>
          <w:szCs w:val="28"/>
          <w:highlight w:val="none"/>
          <w:u w:val="none"/>
          <w14:textFill>
            <w14:solidFill>
              <w14:schemeClr w14:val="tx1"/>
            </w14:solidFill>
          </w14:textFill>
        </w:rPr>
        <w:t>元，</w:t>
      </w:r>
      <w:r>
        <w:rPr>
          <w:rStyle w:val="41"/>
          <w:rFonts w:hint="eastAsia" w:ascii="仿宋" w:hAnsi="仿宋" w:eastAsia="仿宋" w:cs="仿宋"/>
          <w:color w:val="000000" w:themeColor="text1"/>
          <w:kern w:val="0"/>
          <w:sz w:val="28"/>
          <w:szCs w:val="28"/>
          <w:highlight w:val="none"/>
          <w:u w:val="none"/>
          <w14:textFill>
            <w14:solidFill>
              <w14:schemeClr w14:val="tx1"/>
            </w14:solidFill>
          </w14:textFill>
        </w:rPr>
        <w:t>自筹资金</w:t>
      </w:r>
    </w:p>
    <w:p w14:paraId="24ED2FD5">
      <w:pPr>
        <w:pStyle w:val="21"/>
        <w:keepNext w:val="0"/>
        <w:keepLines w:val="0"/>
        <w:pageBreakBefore w:val="0"/>
        <w:kinsoku/>
        <w:wordWrap w:val="0"/>
        <w:overflowPunct/>
        <w:topLinePunct w:val="0"/>
        <w:autoSpaceDE/>
        <w:autoSpaceDN/>
        <w:bidi w:val="0"/>
        <w:adjustRightInd/>
        <w:snapToGrid/>
        <w:spacing w:before="157" w:beforeLines="50" w:beforeAutospacing="0" w:after="157" w:afterLines="50" w:afterAutospacing="0"/>
        <w:ind w:leftChars="0" w:firstLine="560" w:firstLineChars="200"/>
        <w:textAlignment w:val="baseline"/>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最高限价：</w:t>
      </w:r>
      <w:r>
        <w:rPr>
          <w:rStyle w:val="41"/>
          <w:rFonts w:hint="eastAsia" w:ascii="仿宋" w:hAnsi="仿宋" w:eastAsia="仿宋" w:cs="仿宋"/>
          <w:color w:val="000000" w:themeColor="text1"/>
          <w:kern w:val="0"/>
          <w:sz w:val="28"/>
          <w:szCs w:val="28"/>
          <w:highlight w:val="none"/>
          <w:u w:val="none"/>
          <w:lang w:val="en-US"/>
          <w14:textFill>
            <w14:solidFill>
              <w14:schemeClr w14:val="tx1"/>
            </w14:solidFill>
          </w14:textFill>
        </w:rPr>
        <w:t>361155.9</w:t>
      </w:r>
      <w:r>
        <w:rPr>
          <w:rFonts w:hint="eastAsia" w:ascii="仿宋" w:hAnsi="仿宋" w:eastAsia="仿宋" w:cs="仿宋"/>
          <w:color w:val="000000" w:themeColor="text1"/>
          <w:kern w:val="0"/>
          <w:sz w:val="28"/>
          <w:szCs w:val="28"/>
          <w:highlight w:val="none"/>
          <w:u w:val="none"/>
          <w14:textFill>
            <w14:solidFill>
              <w14:schemeClr w14:val="tx1"/>
            </w14:solidFill>
          </w14:textFill>
        </w:rPr>
        <w:t>元</w:t>
      </w:r>
    </w:p>
    <w:p w14:paraId="629853BA">
      <w:pPr>
        <w:pStyle w:val="21"/>
        <w:keepNext w:val="0"/>
        <w:keepLines w:val="0"/>
        <w:pageBreakBefore w:val="0"/>
        <w:kinsoku/>
        <w:wordWrap w:val="0"/>
        <w:overflowPunct/>
        <w:topLinePunct w:val="0"/>
        <w:autoSpaceDE/>
        <w:autoSpaceDN/>
        <w:bidi w:val="0"/>
        <w:adjustRightInd/>
        <w:snapToGrid/>
        <w:spacing w:before="157" w:beforeLines="50" w:beforeAutospacing="0" w:after="157" w:afterLines="50" w:afterAutospacing="0"/>
        <w:ind w:leftChars="0" w:firstLine="560" w:firstLineChars="200"/>
        <w:textAlignment w:val="baseline"/>
        <w:rPr>
          <w:rStyle w:val="41"/>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lang w:eastAsia="zh-CN"/>
          <w14:textFill>
            <w14:solidFill>
              <w14:schemeClr w14:val="tx1"/>
            </w14:solidFill>
          </w14:textFill>
        </w:rPr>
        <w:t>招标</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需求：</w:t>
      </w:r>
      <w:r>
        <w:rPr>
          <w:rStyle w:val="41"/>
          <w:rFonts w:hint="eastAsia" w:ascii="仿宋" w:hAnsi="仿宋" w:eastAsia="仿宋" w:cs="仿宋"/>
          <w:color w:val="000000" w:themeColor="text1"/>
          <w:kern w:val="0"/>
          <w:sz w:val="28"/>
          <w:szCs w:val="28"/>
          <w:highlight w:val="none"/>
          <w:lang w:val="en-US" w:eastAsia="zh-CN"/>
          <w14:textFill>
            <w14:solidFill>
              <w14:schemeClr w14:val="tx1"/>
            </w14:solidFill>
          </w14:textFill>
        </w:rPr>
        <w:t>淮南市工人文化宫（山南）1- 7层装修装饰。具体详见招标文件、图纸、清单、答疑内容</w:t>
      </w:r>
      <w:r>
        <w:rPr>
          <w:rFonts w:hint="eastAsia" w:ascii="仿宋" w:hAnsi="仿宋" w:eastAsia="仿宋" w:cs="仿宋"/>
          <w:snapToGrid/>
          <w:color w:val="000000" w:themeColor="text1"/>
          <w:kern w:val="0"/>
          <w:sz w:val="28"/>
          <w:szCs w:val="28"/>
          <w:highlight w:val="none"/>
          <w:shd w:val="clear" w:color="auto" w:fill="auto"/>
          <w:lang w:eastAsia="zh-CN"/>
          <w14:textFill>
            <w14:solidFill>
              <w14:schemeClr w14:val="tx1"/>
            </w14:solidFill>
          </w14:textFill>
        </w:rPr>
        <w:t>。</w:t>
      </w:r>
    </w:p>
    <w:p w14:paraId="28D0DFB0">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jc w:val="both"/>
        <w:textAlignment w:val="auto"/>
        <w:rPr>
          <w:rFonts w:hint="eastAsia" w:ascii="仿宋" w:hAnsi="仿宋" w:eastAsia="仿宋" w:cs="仿宋"/>
          <w:snapToGrid/>
          <w:color w:val="000000" w:themeColor="text1"/>
          <w:kern w:val="0"/>
          <w:sz w:val="28"/>
          <w:szCs w:val="28"/>
          <w:highlight w:val="none"/>
          <w:shd w:val="clear" w:color="auto" w:fill="auto"/>
          <w:lang w:val="en-US"/>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合同履行期限：</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60日</w:t>
      </w:r>
    </w:p>
    <w:p w14:paraId="196127C4">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jc w:val="both"/>
        <w:textAlignment w:val="auto"/>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本项目（是/否）接受联合体：</w:t>
      </w:r>
      <w:r>
        <w:rPr>
          <w:rFonts w:hint="eastAsia" w:ascii="仿宋" w:hAnsi="仿宋" w:eastAsia="仿宋" w:cs="仿宋"/>
          <w:snapToGrid/>
          <w:color w:val="000000" w:themeColor="text1"/>
          <w:kern w:val="0"/>
          <w:sz w:val="28"/>
          <w:szCs w:val="28"/>
          <w:highlight w:val="none"/>
          <w:shd w:val="clear" w:color="auto" w:fill="auto"/>
          <w:lang w:eastAsia="zh-CN"/>
          <w14:textFill>
            <w14:solidFill>
              <w14:schemeClr w14:val="tx1"/>
            </w14:solidFill>
          </w14:textFill>
        </w:rPr>
        <w:t>否</w:t>
      </w:r>
    </w:p>
    <w:p w14:paraId="0B27E44E">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ascii="仿宋" w:hAnsi="仿宋" w:eastAsia="黑体" w:cs="黑体"/>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黑体" w:cs="黑体"/>
          <w:snapToGrid/>
          <w:color w:val="000000" w:themeColor="text1"/>
          <w:kern w:val="0"/>
          <w:sz w:val="28"/>
          <w:szCs w:val="28"/>
          <w:highlight w:val="none"/>
          <w:shd w:val="clear" w:color="auto" w:fill="auto"/>
          <w14:textFill>
            <w14:solidFill>
              <w14:schemeClr w14:val="tx1"/>
            </w14:solidFill>
          </w14:textFill>
        </w:rPr>
        <w:t>二、申请人的资格要求：</w:t>
      </w:r>
    </w:p>
    <w:p w14:paraId="03AE9688">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1.具有有效期内的“三证合一”营业执照(或事业单位法人证书)。</w:t>
      </w:r>
    </w:p>
    <w:p w14:paraId="7C50FDB7">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2.投标人须具备建筑工程施工总承包三级(及以上)资质</w:t>
      </w:r>
      <w:r>
        <w:rPr>
          <w:rFonts w:hint="eastAsia" w:ascii="仿宋" w:hAnsi="仿宋" w:eastAsia="仿宋" w:cs="仿宋"/>
          <w:snapToGrid/>
          <w:color w:val="000000" w:themeColor="text1"/>
          <w:kern w:val="0"/>
          <w:sz w:val="28"/>
          <w:szCs w:val="28"/>
          <w:highlight w:val="none"/>
          <w:shd w:val="clear" w:color="auto" w:fill="auto"/>
          <w:lang w:eastAsia="zh-CN"/>
          <w14:textFill>
            <w14:solidFill>
              <w14:schemeClr w14:val="tx1"/>
            </w14:solidFill>
          </w14:textFill>
        </w:rPr>
        <w:t>或</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建筑装修装饰工程专业承包二级(及以上)资质，同时具备有效的安全生产许可证。</w:t>
      </w:r>
    </w:p>
    <w:p w14:paraId="0DE61DE6">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3.投标人拟委任项目经理须具备建筑工程专业二级(及以上)注册建造师执业资格，具备有效的安全生产考核合格证书。提供投标相关人员社保声明函。如为事业单位的须提供注册地县级及以上行政主管部门、人力资源和社会保障或编制部门出具的有效证明其属事业编制身份、在该单位从业的证明文件。拟派工程项目经理提供到岗履约承诺书(按照投标文件格式的内容进行承诺)。</w:t>
      </w:r>
    </w:p>
    <w:p w14:paraId="3A82610F">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4.其他要求:</w:t>
      </w:r>
      <w:r>
        <w:rPr>
          <w:rFonts w:hint="eastAsia" w:ascii="仿宋" w:hAnsi="仿宋" w:eastAsia="仿宋" w:cs="仿宋"/>
          <w:snapToGrid/>
          <w:color w:val="000000" w:themeColor="text1"/>
          <w:kern w:val="0"/>
          <w:sz w:val="28"/>
          <w:szCs w:val="28"/>
          <w:highlight w:val="none"/>
          <w:shd w:val="clear" w:color="auto" w:fill="auto"/>
          <w:lang w:eastAsia="zh-CN"/>
          <w14:textFill>
            <w14:solidFill>
              <w14:schemeClr w14:val="tx1"/>
            </w14:solidFill>
          </w14:textFill>
        </w:rPr>
        <w:t>无</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w:t>
      </w:r>
    </w:p>
    <w:p w14:paraId="0981A4F3">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b/>
          <w:bCs/>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b/>
          <w:bCs/>
          <w:snapToGrid/>
          <w:color w:val="000000" w:themeColor="text1"/>
          <w:kern w:val="0"/>
          <w:sz w:val="28"/>
          <w:szCs w:val="28"/>
          <w:highlight w:val="none"/>
          <w:shd w:val="clear" w:color="auto" w:fill="auto"/>
          <w:lang w:val="en-US" w:eastAsia="zh-CN"/>
          <w14:textFill>
            <w14:solidFill>
              <w14:schemeClr w14:val="tx1"/>
            </w14:solidFill>
          </w14:textFill>
        </w:rPr>
        <w:t>5.信誉要求:提供以下对应网站的信誉查询截图或承诺书</w:t>
      </w:r>
    </w:p>
    <w:p w14:paraId="0279551C">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①投标截止时间前，未被最高人民法院在“中国执行信息公开网”网站(http://zxgk.court.gov.cn)列入失信被执行人失信惩戒名单(截图可提供“中国执行信息公开网”的网页查询截图，无受惩戒信息;</w:t>
      </w:r>
    </w:p>
    <w:p w14:paraId="28F9B4E1">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②投标截止时间前，未被国家市场监督管理部门在国家企业信用信息公示系统(www.gsxt.gov.cn)中列入严重违法失信企业名单(提供投标人在国家企业信用信息公示系统网页查询截图，严重违法失信一栏中无不良记录);</w:t>
      </w:r>
    </w:p>
    <w:p w14:paraId="38766F10">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③投标截止时间前，未被全国建筑市场监管公共服务平台(http://jzsc.mohurd.gov.cn/home)列入“黑名单记录”(提供全国建筑市场监管公共服务平台“黑名单记录”里的企业查询网页截图);</w:t>
      </w:r>
    </w:p>
    <w:p w14:paraId="22701E91">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④投标截止时间前，未被国家税务总局列入“重大税收违法案件当事人”名单。(截图可提供“国家税务总局”官方网站-“纳税服务”-“重大税收违法案件查询”的网页查询截图，无违法信息;或者提供“信用中国”-“信用服务”-“重大税收违法案件查询”的网页查询截图，无违法信息。);</w:t>
      </w:r>
    </w:p>
    <w:p w14:paraId="5781922A">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⑤未被行业监管部门或公共资源交易监管部门记不良行为记录，限制在淮南市投标且处于有效期内。</w:t>
      </w:r>
    </w:p>
    <w:p w14:paraId="706E4226">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ascii="仿宋" w:hAnsi="仿宋" w:eastAsia="黑体" w:cs="黑体"/>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黑体" w:cs="黑体"/>
          <w:snapToGrid/>
          <w:color w:val="000000" w:themeColor="text1"/>
          <w:kern w:val="0"/>
          <w:sz w:val="28"/>
          <w:szCs w:val="28"/>
          <w:highlight w:val="none"/>
          <w:shd w:val="clear" w:color="auto" w:fill="auto"/>
          <w14:textFill>
            <w14:solidFill>
              <w14:schemeClr w14:val="tx1"/>
            </w14:solidFill>
          </w14:textFill>
        </w:rPr>
        <w:t>三、获取采购文件</w:t>
      </w:r>
    </w:p>
    <w:p w14:paraId="70AB83D5">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jc w:val="both"/>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时间：</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2025</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年</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10</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月</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14</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日至</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2025</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年</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10</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月</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24</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日</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9</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点</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00</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分（北京时间）</w:t>
      </w:r>
    </w:p>
    <w:p w14:paraId="47250C6B">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jc w:val="both"/>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报名方式:现场报名(自带U盘)或通过邮件报名(</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862523591</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@qq.com)(所需报名资料:①授权委托书②营业执照③资质证书，提供以上材料扫描件并加盖单位公章)并联系代理公司。</w:t>
      </w:r>
    </w:p>
    <w:p w14:paraId="57ACA278">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jc w:val="both"/>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售价：0元</w:t>
      </w:r>
    </w:p>
    <w:p w14:paraId="364A00FE">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pPr>
      <w:r>
        <w:rPr>
          <w:rFonts w:hint="eastAsia" w:ascii="仿宋" w:hAnsi="仿宋" w:eastAsia="黑体" w:cs="黑体"/>
          <w:snapToGrid/>
          <w:color w:val="000000" w:themeColor="text1"/>
          <w:kern w:val="0"/>
          <w:sz w:val="28"/>
          <w:szCs w:val="28"/>
          <w:highlight w:val="none"/>
          <w:shd w:val="clear" w:color="auto" w:fill="auto"/>
          <w14:textFill>
            <w14:solidFill>
              <w14:schemeClr w14:val="tx1"/>
            </w14:solidFill>
          </w14:textFill>
        </w:rPr>
        <w:t>四、</w:t>
      </w:r>
      <w:r>
        <w:rPr>
          <w:rFonts w:hint="eastAsia" w:ascii="仿宋" w:hAnsi="仿宋" w:eastAsia="黑体" w:cs="黑体"/>
          <w:snapToGrid/>
          <w:color w:val="000000" w:themeColor="text1"/>
          <w:kern w:val="0"/>
          <w:sz w:val="28"/>
          <w:szCs w:val="28"/>
          <w:highlight w:val="none"/>
          <w:shd w:val="clear" w:color="auto" w:fill="auto"/>
          <w:lang w:val="en-US" w:eastAsia="zh-CN"/>
          <w14:textFill>
            <w14:solidFill>
              <w14:schemeClr w14:val="tx1"/>
            </w14:solidFill>
          </w14:textFill>
        </w:rPr>
        <w:t>提交投标文件截止时间、开标时间和地点</w:t>
      </w:r>
    </w:p>
    <w:p w14:paraId="411581FF">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t>截止时间:2025年10月24日9点00分(北京时间)</w:t>
      </w:r>
    </w:p>
    <w:p w14:paraId="325944DD">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t>开标时间:2025年10月24日9点00分(北京时间)</w:t>
      </w:r>
    </w:p>
    <w:p w14:paraId="09F6FD9D">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t>开标(投标文件递交)地点:安徽泓昌建设项目管理有限公司开标室(淮南市田家庵区淮舜南路华茂大厦10楼)</w:t>
      </w:r>
    </w:p>
    <w:p w14:paraId="6266EF0F">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hint="eastAsia" w:ascii="仿宋" w:hAnsi="仿宋" w:eastAsia="黑体" w:cs="黑体"/>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黑体" w:cs="黑体"/>
          <w:snapToGrid/>
          <w:color w:val="000000" w:themeColor="text1"/>
          <w:kern w:val="0"/>
          <w:sz w:val="28"/>
          <w:szCs w:val="28"/>
          <w:highlight w:val="none"/>
          <w:shd w:val="clear" w:color="auto" w:fill="auto"/>
          <w:lang w:val="en-US" w:eastAsia="zh-CN"/>
          <w14:textFill>
            <w14:solidFill>
              <w14:schemeClr w14:val="tx1"/>
            </w14:solidFill>
          </w14:textFill>
        </w:rPr>
        <w:t>五、公告期限</w:t>
      </w:r>
    </w:p>
    <w:p w14:paraId="1A528461">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t>自本公告发布之日起3个工作日。</w:t>
      </w:r>
    </w:p>
    <w:p w14:paraId="5E95F239">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hint="eastAsia" w:ascii="仿宋" w:hAnsi="仿宋" w:eastAsia="黑体" w:cs="黑体"/>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黑体" w:cs="黑体"/>
          <w:snapToGrid/>
          <w:color w:val="000000" w:themeColor="text1"/>
          <w:kern w:val="0"/>
          <w:sz w:val="28"/>
          <w:szCs w:val="28"/>
          <w:highlight w:val="none"/>
          <w:shd w:val="clear" w:color="auto" w:fill="auto"/>
          <w:lang w:val="en-US" w:eastAsia="zh-CN"/>
          <w14:textFill>
            <w14:solidFill>
              <w14:schemeClr w14:val="tx1"/>
            </w14:solidFill>
          </w14:textFill>
        </w:rPr>
        <w:t>六、其他补充事宜</w:t>
      </w:r>
    </w:p>
    <w:p w14:paraId="104949AF">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firstLineChars="200"/>
        <w:jc w:val="both"/>
        <w:textAlignment w:val="auto"/>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t>1.关于本项目的发布、变更、答疑等信息将在淮南市总工会官网(https://hnszgh.ahghw.org.cn/index.html)网上发布。投标人须随时关注该项目信息动态，如因关注不及时错过信息下载，责任自行承担。</w:t>
      </w:r>
    </w:p>
    <w:p w14:paraId="7DD726D8">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firstLineChars="200"/>
        <w:jc w:val="both"/>
        <w:textAlignment w:val="auto"/>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t>2.逾期送达的或者未送达指定地点的投标文件;以及未按招标文件要求密封的投标文件，招标人及代理机构均不予接收。</w:t>
      </w:r>
    </w:p>
    <w:p w14:paraId="33853A3E">
      <w:pPr>
        <w:pStyle w:val="21"/>
        <w:keepNext w:val="0"/>
        <w:keepLines w:val="0"/>
        <w:pageBreakBefore w:val="0"/>
        <w:widowControl/>
        <w:numPr>
          <w:ilvl w:val="0"/>
          <w:numId w:val="0"/>
        </w:numPr>
        <w:kinsoku/>
        <w:wordWrap w:val="0"/>
        <w:overflowPunct/>
        <w:topLinePunct w:val="0"/>
        <w:autoSpaceDE/>
        <w:autoSpaceDN/>
        <w:bidi w:val="0"/>
        <w:adjustRightInd/>
        <w:snapToGrid/>
        <w:spacing w:before="157" w:beforeLines="50" w:beforeAutospacing="0" w:after="157" w:afterLines="50" w:afterAutospacing="0" w:line="240" w:lineRule="auto"/>
        <w:ind w:left="0" w:leftChars="0" w:firstLine="560" w:firstLineChars="200"/>
        <w:jc w:val="both"/>
        <w:textAlignment w:val="auto"/>
        <w:rPr>
          <w:rFonts w:hint="eastAsia" w:ascii="仿宋" w:hAnsi="仿宋" w:eastAsia="仿宋" w:cs="仿宋"/>
          <w:b w:val="0"/>
          <w:bCs w:val="0"/>
          <w:snapToGrid/>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lang w:val="en-US" w:eastAsia="zh-CN" w:bidi="ar-SA"/>
          <w14:textFill>
            <w14:solidFill>
              <w14:schemeClr w14:val="tx1"/>
            </w14:solidFill>
          </w14:textFill>
        </w:rPr>
        <w:t>3.</w:t>
      </w:r>
      <w:r>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t>资格审查方式:资格后审</w:t>
      </w:r>
    </w:p>
    <w:p w14:paraId="2EAC9BBF">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firstLineChars="20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b w:val="0"/>
          <w:bCs w:val="0"/>
          <w:snapToGrid/>
          <w:color w:val="000000" w:themeColor="text1"/>
          <w:kern w:val="0"/>
          <w:sz w:val="28"/>
          <w:szCs w:val="28"/>
          <w:highlight w:val="none"/>
          <w:lang w:val="en-US" w:eastAsia="zh-CN"/>
          <w14:textFill>
            <w14:solidFill>
              <w14:schemeClr w14:val="tx1"/>
            </w14:solidFill>
          </w14:textFill>
        </w:rPr>
        <w:t>4.</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本项目免收</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磋商</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保证金。</w:t>
      </w:r>
    </w:p>
    <w:p w14:paraId="02182E9B">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jc w:val="both"/>
        <w:textAlignment w:val="auto"/>
        <w:rPr>
          <w:rFonts w:ascii="仿宋" w:hAnsi="仿宋" w:eastAsia="黑体" w:cs="黑体"/>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黑体" w:cs="黑体"/>
          <w:snapToGrid/>
          <w:color w:val="000000" w:themeColor="text1"/>
          <w:kern w:val="0"/>
          <w:sz w:val="28"/>
          <w:szCs w:val="28"/>
          <w:highlight w:val="none"/>
          <w:shd w:val="clear" w:color="auto" w:fill="auto"/>
          <w:lang w:eastAsia="zh-CN"/>
          <w14:textFill>
            <w14:solidFill>
              <w14:schemeClr w14:val="tx1"/>
            </w14:solidFill>
          </w14:textFill>
        </w:rPr>
        <w:t>七</w:t>
      </w:r>
      <w:r>
        <w:rPr>
          <w:rFonts w:hint="eastAsia" w:ascii="仿宋" w:hAnsi="仿宋" w:eastAsia="黑体" w:cs="黑体"/>
          <w:snapToGrid/>
          <w:color w:val="000000" w:themeColor="text1"/>
          <w:kern w:val="0"/>
          <w:sz w:val="28"/>
          <w:szCs w:val="28"/>
          <w:highlight w:val="none"/>
          <w:shd w:val="clear" w:color="auto" w:fill="auto"/>
          <w14:textFill>
            <w14:solidFill>
              <w14:schemeClr w14:val="tx1"/>
            </w14:solidFill>
          </w14:textFill>
        </w:rPr>
        <w:t>、凡对本次采购提出询问，请按以下方式联系。</w:t>
      </w:r>
    </w:p>
    <w:p w14:paraId="0CD9EB8F">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1.采购人信息</w:t>
      </w:r>
    </w:p>
    <w:p w14:paraId="733352D9">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lang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名    称：</w:t>
      </w:r>
      <w:r>
        <w:rPr>
          <w:rFonts w:hint="eastAsia" w:ascii="仿宋" w:hAnsi="仿宋" w:eastAsia="仿宋" w:cs="仿宋"/>
          <w:snapToGrid/>
          <w:color w:val="000000" w:themeColor="text1"/>
          <w:kern w:val="0"/>
          <w:sz w:val="28"/>
          <w:szCs w:val="28"/>
          <w:highlight w:val="none"/>
          <w:shd w:val="clear" w:color="auto" w:fill="auto"/>
          <w:lang w:eastAsia="zh-CN"/>
          <w14:textFill>
            <w14:solidFill>
              <w14:schemeClr w14:val="tx1"/>
            </w14:solidFill>
          </w14:textFill>
        </w:rPr>
        <w:t>淮南市总工会</w:t>
      </w:r>
    </w:p>
    <w:p w14:paraId="521A500B">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default"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地    址：</w:t>
      </w:r>
      <w:r>
        <w:rPr>
          <w:rFonts w:hint="eastAsia" w:ascii="仿宋" w:hAnsi="仿宋" w:eastAsia="仿宋" w:cs="仿宋"/>
          <w:color w:val="auto"/>
          <w:sz w:val="28"/>
          <w:szCs w:val="28"/>
          <w:highlight w:val="none"/>
          <w:lang w:val="en-US" w:eastAsia="zh-CN"/>
        </w:rPr>
        <w:t>淮南市洞山中路42号</w:t>
      </w:r>
    </w:p>
    <w:p w14:paraId="5B052371">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default"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联系方式：</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15305548606</w:t>
      </w:r>
    </w:p>
    <w:p w14:paraId="6EC20D40">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2.采购代理机构信息</w:t>
      </w:r>
    </w:p>
    <w:p w14:paraId="3BF62F17">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名    称：</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安徽泓昌建设项目管理有限公司</w:t>
      </w:r>
    </w:p>
    <w:p w14:paraId="0F406F80">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地    址：</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安徽省淮南市田家庵区舜耕镇淮舜南路爱佳综合楼1001</w:t>
      </w:r>
    </w:p>
    <w:p w14:paraId="7380C303">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default"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联系方式：</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18856052105</w:t>
      </w:r>
    </w:p>
    <w:p w14:paraId="26AF3C6E">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3.项目联系方式</w:t>
      </w:r>
    </w:p>
    <w:p w14:paraId="4BE73DD7">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项目联系人：</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张劲</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（采购人代表）、</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张英文</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（代理机构）</w:t>
      </w:r>
    </w:p>
    <w:p w14:paraId="4CF151D6">
      <w:pPr>
        <w:pStyle w:val="21"/>
        <w:keepNext w:val="0"/>
        <w:keepLines w:val="0"/>
        <w:pageBreakBefore w:val="0"/>
        <w:widowControl/>
        <w:kinsoku/>
        <w:wordWrap w:val="0"/>
        <w:overflowPunct/>
        <w:topLinePunct w:val="0"/>
        <w:autoSpaceDE/>
        <w:autoSpaceDN/>
        <w:bidi w:val="0"/>
        <w:adjustRightInd/>
        <w:snapToGrid/>
        <w:spacing w:before="157" w:beforeLines="50" w:beforeAutospacing="0" w:after="157" w:afterLines="50" w:afterAutospacing="0" w:line="240" w:lineRule="auto"/>
        <w:ind w:leftChars="0" w:firstLine="560"/>
        <w:textAlignment w:val="auto"/>
        <w:rPr>
          <w:rFonts w:hint="eastAsia" w:ascii="仿宋" w:hAnsi="仿宋" w:eastAsia="仿宋" w:cs="仿宋"/>
          <w:highlight w:val="none"/>
          <w:lang w:val="en-US" w:eastAsia="zh-CN"/>
        </w:rPr>
      </w:pP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电   话：</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15305548606</w:t>
      </w:r>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 xml:space="preserve"> 18856052105</w:t>
      </w:r>
    </w:p>
    <w:p w14:paraId="773FA5DB">
      <w:pPr>
        <w:pStyle w:val="7"/>
        <w:bidi w:val="0"/>
        <w:jc w:val="center"/>
        <w:rPr>
          <w:rFonts w:hint="eastAsia" w:ascii="仿宋" w:hAnsi="仿宋" w:eastAsia="仿宋" w:cs="仿宋"/>
          <w:highlight w:val="none"/>
          <w:lang w:val="en-US" w:eastAsia="zh-CN"/>
        </w:rPr>
      </w:pPr>
      <w:bookmarkStart w:id="10" w:name="_Toc29650"/>
      <w:r>
        <w:rPr>
          <w:rFonts w:hint="eastAsia" w:ascii="仿宋" w:hAnsi="仿宋" w:eastAsia="仿宋" w:cs="仿宋"/>
          <w:highlight w:val="none"/>
          <w:lang w:val="en-US" w:eastAsia="zh-CN"/>
        </w:rPr>
        <w:t>第二章 供应商须知前附表</w:t>
      </w:r>
      <w:bookmarkEnd w:id="10"/>
    </w:p>
    <w:p w14:paraId="6CD45327">
      <w:pPr>
        <w:rPr>
          <w:rFonts w:hint="eastAsia" w:ascii="仿宋" w:hAnsi="仿宋" w:eastAsia="仿宋" w:cs="仿宋"/>
          <w:highlight w:val="none"/>
        </w:rPr>
      </w:pPr>
    </w:p>
    <w:tbl>
      <w:tblPr>
        <w:tblStyle w:val="22"/>
        <w:tblW w:w="5076" w:type="pct"/>
        <w:tblInd w:w="0" w:type="dxa"/>
        <w:tblLayout w:type="fixed"/>
        <w:tblCellMar>
          <w:top w:w="0" w:type="dxa"/>
          <w:left w:w="0" w:type="dxa"/>
          <w:bottom w:w="0" w:type="dxa"/>
          <w:right w:w="0" w:type="dxa"/>
        </w:tblCellMar>
      </w:tblPr>
      <w:tblGrid>
        <w:gridCol w:w="636"/>
        <w:gridCol w:w="2025"/>
        <w:gridCol w:w="7139"/>
      </w:tblGrid>
      <w:tr w14:paraId="175F9898">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24FD">
            <w:pPr>
              <w:pStyle w:val="7"/>
              <w:spacing w:line="240" w:lineRule="auto"/>
              <w:jc w:val="center"/>
              <w:rPr>
                <w:rFonts w:hint="eastAsia" w:ascii="仿宋" w:hAnsi="仿宋" w:eastAsia="仿宋" w:cs="仿宋"/>
                <w:sz w:val="28"/>
                <w:szCs w:val="28"/>
                <w:highlight w:val="none"/>
              </w:rPr>
            </w:pPr>
            <w:bookmarkStart w:id="11" w:name="_Toc2958"/>
            <w:bookmarkEnd w:id="11"/>
            <w:bookmarkStart w:id="12" w:name="_Toc9482"/>
            <w:bookmarkEnd w:id="12"/>
            <w:bookmarkStart w:id="13" w:name="_Toc28104"/>
            <w:bookmarkStart w:id="14" w:name="_Toc19431"/>
            <w:bookmarkStart w:id="15" w:name="_Toc22652"/>
            <w:r>
              <w:rPr>
                <w:rFonts w:hint="eastAsia" w:ascii="仿宋" w:hAnsi="仿宋" w:eastAsia="仿宋" w:cs="仿宋"/>
                <w:sz w:val="28"/>
                <w:szCs w:val="28"/>
                <w:highlight w:val="none"/>
              </w:rPr>
              <w:t>序号</w:t>
            </w:r>
            <w:bookmarkEnd w:id="13"/>
            <w:bookmarkEnd w:id="14"/>
            <w:bookmarkEnd w:id="15"/>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678">
            <w:pPr>
              <w:pStyle w:val="7"/>
              <w:spacing w:line="240" w:lineRule="auto"/>
              <w:jc w:val="center"/>
              <w:rPr>
                <w:rFonts w:hint="eastAsia" w:ascii="仿宋" w:hAnsi="仿宋" w:eastAsia="仿宋" w:cs="仿宋"/>
                <w:sz w:val="28"/>
                <w:szCs w:val="28"/>
                <w:highlight w:val="none"/>
              </w:rPr>
            </w:pPr>
            <w:bookmarkStart w:id="16" w:name="_Toc16337"/>
            <w:bookmarkEnd w:id="16"/>
            <w:bookmarkStart w:id="17" w:name="_Toc19712"/>
            <w:bookmarkEnd w:id="17"/>
            <w:bookmarkStart w:id="18" w:name="_Toc22828"/>
            <w:bookmarkEnd w:id="18"/>
            <w:bookmarkStart w:id="19" w:name="_Toc28298"/>
            <w:bookmarkEnd w:id="19"/>
            <w:bookmarkStart w:id="20" w:name="_Toc13627"/>
            <w:bookmarkStart w:id="21" w:name="_Toc3426"/>
            <w:bookmarkStart w:id="22" w:name="_Toc12045"/>
            <w:r>
              <w:rPr>
                <w:rFonts w:hint="eastAsia" w:ascii="仿宋" w:hAnsi="仿宋" w:eastAsia="仿宋" w:cs="仿宋"/>
                <w:sz w:val="28"/>
                <w:szCs w:val="28"/>
                <w:highlight w:val="none"/>
              </w:rPr>
              <w:t>条款名称</w:t>
            </w:r>
            <w:bookmarkEnd w:id="20"/>
            <w:bookmarkEnd w:id="21"/>
            <w:bookmarkEnd w:id="22"/>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6979">
            <w:pPr>
              <w:pStyle w:val="7"/>
              <w:spacing w:line="240" w:lineRule="auto"/>
              <w:jc w:val="center"/>
              <w:rPr>
                <w:rFonts w:hint="eastAsia" w:ascii="仿宋" w:hAnsi="仿宋" w:eastAsia="仿宋" w:cs="仿宋"/>
                <w:sz w:val="28"/>
                <w:szCs w:val="28"/>
                <w:highlight w:val="none"/>
              </w:rPr>
            </w:pPr>
            <w:bookmarkStart w:id="23" w:name="_Toc16212"/>
            <w:bookmarkEnd w:id="23"/>
            <w:bookmarkStart w:id="24" w:name="_Toc2438"/>
            <w:bookmarkEnd w:id="24"/>
            <w:bookmarkStart w:id="25" w:name="_Toc16822"/>
            <w:bookmarkEnd w:id="25"/>
            <w:bookmarkStart w:id="26" w:name="_Toc20910"/>
            <w:bookmarkEnd w:id="26"/>
            <w:bookmarkStart w:id="27" w:name="_Toc11919"/>
            <w:bookmarkStart w:id="28" w:name="_Toc13517"/>
            <w:bookmarkStart w:id="29" w:name="_Toc29337"/>
            <w:r>
              <w:rPr>
                <w:rFonts w:hint="eastAsia" w:ascii="仿宋" w:hAnsi="仿宋" w:eastAsia="仿宋" w:cs="仿宋"/>
                <w:sz w:val="28"/>
                <w:szCs w:val="28"/>
                <w:highlight w:val="none"/>
              </w:rPr>
              <w:t>编列内容</w:t>
            </w:r>
            <w:bookmarkEnd w:id="27"/>
            <w:bookmarkEnd w:id="28"/>
            <w:bookmarkEnd w:id="29"/>
          </w:p>
        </w:tc>
      </w:tr>
      <w:tr w14:paraId="3F1F4732">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660D">
            <w:pPr>
              <w:pStyle w:val="7"/>
              <w:spacing w:line="240" w:lineRule="auto"/>
              <w:jc w:val="center"/>
              <w:rPr>
                <w:rFonts w:hint="eastAsia" w:ascii="仿宋" w:hAnsi="仿宋" w:eastAsia="仿宋" w:cs="仿宋"/>
                <w:b w:val="0"/>
                <w:sz w:val="28"/>
                <w:szCs w:val="28"/>
                <w:highlight w:val="none"/>
              </w:rPr>
            </w:pPr>
            <w:bookmarkStart w:id="30" w:name="_Toc8868"/>
            <w:bookmarkEnd w:id="30"/>
            <w:bookmarkStart w:id="31" w:name="_Toc31619"/>
            <w:bookmarkEnd w:id="31"/>
            <w:bookmarkStart w:id="32" w:name="_Toc15349"/>
            <w:bookmarkEnd w:id="32"/>
            <w:bookmarkStart w:id="33" w:name="_Toc20041"/>
            <w:bookmarkEnd w:id="33"/>
            <w:bookmarkStart w:id="34" w:name="_Toc24684"/>
            <w:bookmarkStart w:id="35" w:name="_Toc20988"/>
            <w:bookmarkStart w:id="36" w:name="_Toc4969"/>
            <w:r>
              <w:rPr>
                <w:rFonts w:hint="eastAsia" w:ascii="仿宋" w:hAnsi="仿宋" w:eastAsia="仿宋" w:cs="仿宋"/>
                <w:b w:val="0"/>
                <w:sz w:val="28"/>
                <w:szCs w:val="28"/>
                <w:highlight w:val="none"/>
              </w:rPr>
              <w:t>1</w:t>
            </w:r>
            <w:bookmarkEnd w:id="34"/>
            <w:bookmarkEnd w:id="35"/>
            <w:bookmarkEnd w:id="36"/>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284">
            <w:pPr>
              <w:pStyle w:val="7"/>
              <w:spacing w:line="240" w:lineRule="auto"/>
              <w:jc w:val="center"/>
              <w:rPr>
                <w:rFonts w:hint="eastAsia" w:ascii="仿宋" w:hAnsi="仿宋" w:eastAsia="仿宋" w:cs="仿宋"/>
                <w:b w:val="0"/>
                <w:sz w:val="28"/>
                <w:szCs w:val="28"/>
                <w:highlight w:val="none"/>
              </w:rPr>
            </w:pPr>
            <w:bookmarkStart w:id="37" w:name="_Toc9422"/>
            <w:bookmarkStart w:id="38" w:name="_Toc32296"/>
            <w:bookmarkStart w:id="39" w:name="_Toc27405"/>
            <w:r>
              <w:rPr>
                <w:rFonts w:hint="eastAsia" w:ascii="仿宋" w:hAnsi="仿宋" w:eastAsia="仿宋" w:cs="仿宋"/>
                <w:b w:val="0"/>
                <w:sz w:val="28"/>
                <w:szCs w:val="28"/>
                <w:highlight w:val="none"/>
              </w:rPr>
              <w:t>采购人</w:t>
            </w:r>
            <w:bookmarkEnd w:id="37"/>
            <w:bookmarkEnd w:id="38"/>
            <w:bookmarkEnd w:id="39"/>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5595">
            <w:pPr>
              <w:spacing w:line="24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淮南市总工会</w:t>
            </w:r>
          </w:p>
          <w:p w14:paraId="33CB0BDB">
            <w:pPr>
              <w:spacing w:line="24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淮南市洞山中路42号</w:t>
            </w:r>
          </w:p>
          <w:p w14:paraId="2DEED3BF">
            <w:pPr>
              <w:spacing w:line="24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张劲</w:t>
            </w:r>
          </w:p>
          <w:p w14:paraId="6D7120CD">
            <w:pPr>
              <w:spacing w:line="24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电  话：</w:t>
            </w:r>
            <w:r>
              <w:rPr>
                <w:rFonts w:hint="eastAsia" w:ascii="仿宋" w:hAnsi="仿宋" w:eastAsia="仿宋" w:cs="仿宋"/>
                <w:snapToGrid/>
                <w:color w:val="000000" w:themeColor="text1"/>
                <w:kern w:val="0"/>
                <w:sz w:val="28"/>
                <w:szCs w:val="28"/>
                <w:highlight w:val="none"/>
                <w:shd w:val="clear" w:color="auto" w:fill="auto"/>
                <w:lang w:val="en-US" w:eastAsia="zh-CN"/>
                <w14:textFill>
                  <w14:solidFill>
                    <w14:schemeClr w14:val="tx1"/>
                  </w14:solidFill>
                </w14:textFill>
              </w:rPr>
              <w:t>15305548606</w:t>
            </w:r>
          </w:p>
        </w:tc>
      </w:tr>
      <w:tr w14:paraId="4775CE16">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F443">
            <w:pPr>
              <w:pStyle w:val="7"/>
              <w:spacing w:line="240" w:lineRule="auto"/>
              <w:jc w:val="center"/>
              <w:rPr>
                <w:rFonts w:hint="eastAsia" w:ascii="仿宋" w:hAnsi="仿宋" w:eastAsia="仿宋" w:cs="仿宋"/>
                <w:b w:val="0"/>
                <w:sz w:val="28"/>
                <w:szCs w:val="28"/>
                <w:highlight w:val="none"/>
              </w:rPr>
            </w:pPr>
            <w:bookmarkStart w:id="40" w:name="_Toc27053"/>
            <w:bookmarkEnd w:id="40"/>
            <w:bookmarkStart w:id="41" w:name="_Toc10962"/>
            <w:bookmarkEnd w:id="41"/>
            <w:bookmarkStart w:id="42" w:name="_Toc30148"/>
            <w:bookmarkEnd w:id="42"/>
            <w:bookmarkStart w:id="43" w:name="_Toc12200"/>
            <w:bookmarkEnd w:id="43"/>
            <w:bookmarkStart w:id="44" w:name="_Toc8739"/>
            <w:bookmarkStart w:id="45" w:name="_Toc153"/>
            <w:bookmarkStart w:id="46" w:name="_Toc10297"/>
            <w:r>
              <w:rPr>
                <w:rFonts w:hint="eastAsia" w:ascii="仿宋" w:hAnsi="仿宋" w:eastAsia="仿宋" w:cs="仿宋"/>
                <w:b w:val="0"/>
                <w:sz w:val="28"/>
                <w:szCs w:val="28"/>
                <w:highlight w:val="none"/>
              </w:rPr>
              <w:t>2</w:t>
            </w:r>
            <w:bookmarkEnd w:id="44"/>
            <w:bookmarkEnd w:id="45"/>
            <w:bookmarkEnd w:id="46"/>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7DFC">
            <w:pPr>
              <w:pStyle w:val="7"/>
              <w:spacing w:line="240" w:lineRule="auto"/>
              <w:jc w:val="center"/>
              <w:rPr>
                <w:rFonts w:hint="eastAsia" w:ascii="仿宋" w:hAnsi="仿宋" w:eastAsia="仿宋" w:cs="仿宋"/>
                <w:b w:val="0"/>
                <w:sz w:val="28"/>
                <w:szCs w:val="28"/>
                <w:highlight w:val="none"/>
              </w:rPr>
            </w:pPr>
            <w:bookmarkStart w:id="47" w:name="_Toc19072"/>
            <w:bookmarkStart w:id="48" w:name="_Toc2169"/>
            <w:bookmarkStart w:id="49" w:name="_Toc17363"/>
            <w:r>
              <w:rPr>
                <w:rFonts w:hint="eastAsia" w:ascii="仿宋" w:hAnsi="仿宋" w:eastAsia="仿宋" w:cs="仿宋"/>
                <w:b w:val="0"/>
                <w:sz w:val="28"/>
                <w:szCs w:val="28"/>
                <w:highlight w:val="none"/>
              </w:rPr>
              <w:t>采购代理机构</w:t>
            </w:r>
            <w:bookmarkEnd w:id="47"/>
            <w:bookmarkEnd w:id="48"/>
            <w:bookmarkEnd w:id="49"/>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6B0F">
            <w:pPr>
              <w:keepNext w:val="0"/>
              <w:keepLines w:val="0"/>
              <w:widowControl/>
              <w:suppressLineNumbers w:val="0"/>
              <w:spacing w:line="24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w:t>
            </w:r>
            <w:r>
              <w:rPr>
                <w:rFonts w:hint="eastAsia" w:ascii="仿宋" w:hAnsi="仿宋" w:eastAsia="仿宋" w:cs="仿宋"/>
                <w:color w:val="000000"/>
                <w:kern w:val="0"/>
                <w:sz w:val="28"/>
                <w:szCs w:val="28"/>
                <w:highlight w:val="none"/>
                <w:lang w:val="en-US" w:eastAsia="zh-CN" w:bidi="ar"/>
              </w:rPr>
              <w:t>安徽泓昌建设项目管理有限公司</w:t>
            </w:r>
          </w:p>
          <w:p w14:paraId="374395BE">
            <w:pPr>
              <w:spacing w:line="240" w:lineRule="auto"/>
              <w:ind w:left="559" w:leftChars="266"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安徽省淮南市田家庵区舜耕镇淮舜南路爱佳综合楼1001</w:t>
            </w:r>
          </w:p>
          <w:p w14:paraId="49CC1A38">
            <w:pPr>
              <w:spacing w:line="24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张英文</w:t>
            </w:r>
          </w:p>
          <w:p w14:paraId="18DC986B">
            <w:pPr>
              <w:spacing w:line="24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18856052105</w:t>
            </w:r>
          </w:p>
        </w:tc>
      </w:tr>
      <w:tr w14:paraId="230AD293">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513">
            <w:pPr>
              <w:pStyle w:val="7"/>
              <w:spacing w:line="240" w:lineRule="auto"/>
              <w:jc w:val="center"/>
              <w:rPr>
                <w:rFonts w:hint="eastAsia" w:ascii="仿宋" w:hAnsi="仿宋" w:eastAsia="仿宋" w:cs="仿宋"/>
                <w:b w:val="0"/>
                <w:sz w:val="28"/>
                <w:szCs w:val="28"/>
                <w:highlight w:val="none"/>
              </w:rPr>
            </w:pPr>
            <w:bookmarkStart w:id="50" w:name="_Toc21366"/>
            <w:bookmarkEnd w:id="50"/>
            <w:bookmarkStart w:id="51" w:name="_Toc19303"/>
            <w:bookmarkEnd w:id="51"/>
            <w:bookmarkStart w:id="52" w:name="_Toc11115"/>
            <w:bookmarkEnd w:id="52"/>
            <w:bookmarkStart w:id="53" w:name="_Toc31403"/>
            <w:bookmarkEnd w:id="53"/>
            <w:bookmarkStart w:id="54" w:name="_Toc19923"/>
            <w:bookmarkStart w:id="55" w:name="_Toc27995"/>
            <w:bookmarkStart w:id="56" w:name="_Toc2155"/>
            <w:r>
              <w:rPr>
                <w:rFonts w:hint="eastAsia" w:ascii="仿宋" w:hAnsi="仿宋" w:eastAsia="仿宋" w:cs="仿宋"/>
                <w:b w:val="0"/>
                <w:sz w:val="28"/>
                <w:szCs w:val="28"/>
                <w:highlight w:val="none"/>
              </w:rPr>
              <w:t>3</w:t>
            </w:r>
            <w:bookmarkEnd w:id="54"/>
            <w:bookmarkEnd w:id="55"/>
            <w:bookmarkEnd w:id="56"/>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6BAD">
            <w:pPr>
              <w:pStyle w:val="7"/>
              <w:spacing w:line="240" w:lineRule="auto"/>
              <w:jc w:val="center"/>
              <w:rPr>
                <w:rFonts w:hint="eastAsia" w:ascii="仿宋" w:hAnsi="仿宋" w:eastAsia="仿宋" w:cs="仿宋"/>
                <w:b w:val="0"/>
                <w:sz w:val="28"/>
                <w:szCs w:val="28"/>
                <w:highlight w:val="none"/>
              </w:rPr>
            </w:pPr>
            <w:bookmarkStart w:id="57" w:name="_Toc9742"/>
            <w:bookmarkEnd w:id="57"/>
            <w:bookmarkStart w:id="58" w:name="_Toc26767"/>
            <w:bookmarkEnd w:id="58"/>
            <w:bookmarkStart w:id="59" w:name="_Toc26365"/>
            <w:bookmarkEnd w:id="59"/>
            <w:bookmarkStart w:id="60" w:name="_Toc25222"/>
            <w:bookmarkStart w:id="61" w:name="_Toc6560"/>
            <w:bookmarkStart w:id="62" w:name="_Toc1829"/>
            <w:r>
              <w:rPr>
                <w:rFonts w:hint="eastAsia" w:ascii="仿宋" w:hAnsi="仿宋" w:eastAsia="仿宋" w:cs="仿宋"/>
                <w:b w:val="0"/>
                <w:sz w:val="28"/>
                <w:szCs w:val="28"/>
                <w:highlight w:val="none"/>
              </w:rPr>
              <w:t>项目名称</w:t>
            </w:r>
            <w:bookmarkEnd w:id="60"/>
            <w:bookmarkEnd w:id="61"/>
            <w:bookmarkEnd w:id="62"/>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F406">
            <w:pPr>
              <w:spacing w:before="156" w:beforeLines="50" w:after="156" w:afterLines="50" w:line="240" w:lineRule="auto"/>
              <w:ind w:right="105" w:rightChars="5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淮南市工人文化宫（山南）1- 7层装修装饰项目</w:t>
            </w:r>
          </w:p>
        </w:tc>
      </w:tr>
      <w:tr w14:paraId="2B70BEB7">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74F">
            <w:pPr>
              <w:pStyle w:val="7"/>
              <w:spacing w:line="240" w:lineRule="auto"/>
              <w:jc w:val="center"/>
              <w:rPr>
                <w:rFonts w:hint="eastAsia" w:ascii="仿宋" w:hAnsi="仿宋" w:eastAsia="仿宋" w:cs="仿宋"/>
                <w:b w:val="0"/>
                <w:sz w:val="28"/>
                <w:szCs w:val="28"/>
                <w:highlight w:val="none"/>
              </w:rPr>
            </w:pPr>
            <w:bookmarkStart w:id="63" w:name="_Toc2984"/>
            <w:bookmarkEnd w:id="63"/>
            <w:bookmarkStart w:id="64" w:name="_Toc13522"/>
            <w:bookmarkEnd w:id="64"/>
            <w:bookmarkStart w:id="65" w:name="_Toc12389"/>
            <w:bookmarkEnd w:id="65"/>
            <w:bookmarkStart w:id="66" w:name="_Toc3798"/>
            <w:bookmarkEnd w:id="66"/>
            <w:bookmarkStart w:id="67" w:name="_Toc19459"/>
            <w:bookmarkStart w:id="68" w:name="_Toc2942"/>
            <w:bookmarkStart w:id="69" w:name="_Toc30009"/>
            <w:r>
              <w:rPr>
                <w:rFonts w:hint="eastAsia" w:ascii="仿宋" w:hAnsi="仿宋" w:eastAsia="仿宋" w:cs="仿宋"/>
                <w:b w:val="0"/>
                <w:sz w:val="28"/>
                <w:szCs w:val="28"/>
                <w:highlight w:val="none"/>
              </w:rPr>
              <w:t>4</w:t>
            </w:r>
            <w:bookmarkEnd w:id="67"/>
            <w:bookmarkEnd w:id="68"/>
            <w:bookmarkEnd w:id="69"/>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D582">
            <w:pPr>
              <w:pStyle w:val="49"/>
              <w:spacing w:before="0" w:beforeAutospacing="0" w:after="0" w:afterAutospacing="0" w:line="24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标段划分</w:t>
            </w:r>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4B3C">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不分包</w:t>
            </w:r>
          </w:p>
          <w:p w14:paraId="7BF39939">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分为</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个包</w:t>
            </w:r>
          </w:p>
          <w:p w14:paraId="3B00341B">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供应商参加多个包谈判的成交包数规定：</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rPr>
              <w:t>。</w:t>
            </w:r>
          </w:p>
        </w:tc>
      </w:tr>
      <w:tr w14:paraId="7BE90F8C">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A764">
            <w:pPr>
              <w:pStyle w:val="7"/>
              <w:spacing w:line="240" w:lineRule="auto"/>
              <w:jc w:val="center"/>
              <w:rPr>
                <w:rFonts w:hint="eastAsia" w:ascii="仿宋" w:hAnsi="仿宋" w:eastAsia="仿宋" w:cs="仿宋"/>
                <w:b w:val="0"/>
                <w:sz w:val="28"/>
                <w:szCs w:val="28"/>
                <w:highlight w:val="none"/>
              </w:rPr>
            </w:pPr>
            <w:bookmarkStart w:id="70" w:name="_Toc21017"/>
            <w:r>
              <w:rPr>
                <w:rFonts w:hint="eastAsia" w:ascii="仿宋" w:hAnsi="仿宋" w:eastAsia="仿宋" w:cs="仿宋"/>
                <w:b w:val="0"/>
                <w:sz w:val="28"/>
                <w:szCs w:val="28"/>
                <w:highlight w:val="none"/>
              </w:rPr>
              <w:t>5</w:t>
            </w:r>
            <w:bookmarkEnd w:id="70"/>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B1A0">
            <w:pPr>
              <w:pStyle w:val="49"/>
              <w:spacing w:before="0" w:beforeAutospacing="0" w:after="0" w:afterAutospacing="0" w:line="24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是否为专门面向</w:t>
            </w:r>
          </w:p>
          <w:p w14:paraId="7A7FEB64">
            <w:pPr>
              <w:pStyle w:val="49"/>
              <w:spacing w:before="0" w:beforeAutospacing="0" w:after="0" w:afterAutospacing="0" w:line="24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中小企业采购</w:t>
            </w:r>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D10F">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sym w:font="Wingdings 2" w:char="00A3"/>
            </w:r>
            <w:r>
              <w:rPr>
                <w:rFonts w:hint="eastAsia" w:ascii="仿宋" w:hAnsi="仿宋" w:eastAsia="仿宋" w:cs="仿宋"/>
                <w:b w:val="0"/>
                <w:bCs w:val="0"/>
                <w:sz w:val="28"/>
                <w:szCs w:val="28"/>
                <w:highlight w:val="none"/>
              </w:rPr>
              <w:t xml:space="preserve">是 </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否</w:t>
            </w:r>
          </w:p>
        </w:tc>
      </w:tr>
      <w:tr w14:paraId="703BCFF4">
        <w:tblPrEx>
          <w:tblCellMar>
            <w:top w:w="0" w:type="dxa"/>
            <w:left w:w="0" w:type="dxa"/>
            <w:bottom w:w="0" w:type="dxa"/>
            <w:right w:w="0" w:type="dxa"/>
          </w:tblCellMar>
        </w:tblPrEx>
        <w:trPr>
          <w:trHeight w:val="9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246">
            <w:pPr>
              <w:pStyle w:val="7"/>
              <w:spacing w:line="240" w:lineRule="auto"/>
              <w:jc w:val="center"/>
              <w:rPr>
                <w:rFonts w:hint="eastAsia" w:ascii="仿宋" w:hAnsi="仿宋" w:eastAsia="仿宋" w:cs="仿宋"/>
                <w:b w:val="0"/>
                <w:sz w:val="28"/>
                <w:szCs w:val="28"/>
                <w:highlight w:val="none"/>
              </w:rPr>
            </w:pPr>
            <w:bookmarkStart w:id="71" w:name="_Toc26865"/>
            <w:r>
              <w:rPr>
                <w:rFonts w:hint="eastAsia" w:ascii="仿宋" w:hAnsi="仿宋" w:eastAsia="仿宋" w:cs="仿宋"/>
                <w:b w:val="0"/>
                <w:sz w:val="28"/>
                <w:szCs w:val="28"/>
                <w:highlight w:val="none"/>
              </w:rPr>
              <w:t>6</w:t>
            </w:r>
            <w:bookmarkEnd w:id="71"/>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3747">
            <w:pPr>
              <w:pStyle w:val="49"/>
              <w:spacing w:before="0" w:beforeAutospacing="0" w:after="0" w:afterAutospacing="0" w:line="240" w:lineRule="auto"/>
              <w:rPr>
                <w:rFonts w:hint="eastAsia" w:ascii="仿宋" w:hAnsi="仿宋" w:eastAsia="仿宋" w:cs="仿宋"/>
                <w:b w:val="0"/>
                <w:bCs w:val="0"/>
                <w:sz w:val="28"/>
                <w:szCs w:val="28"/>
                <w:highlight w:val="none"/>
              </w:rPr>
            </w:pPr>
            <w:bookmarkStart w:id="72" w:name="_Toc15968"/>
            <w:bookmarkStart w:id="73" w:name="_Toc143448928"/>
            <w:bookmarkStart w:id="74" w:name="_Toc144968961"/>
            <w:bookmarkStart w:id="75" w:name="_Toc143449650"/>
            <w:bookmarkStart w:id="76" w:name="_Toc18638"/>
            <w:r>
              <w:rPr>
                <w:rFonts w:hint="eastAsia" w:ascii="仿宋" w:hAnsi="仿宋" w:eastAsia="仿宋" w:cs="仿宋"/>
                <w:b w:val="0"/>
                <w:bCs w:val="0"/>
                <w:sz w:val="28"/>
                <w:szCs w:val="28"/>
                <w:highlight w:val="none"/>
              </w:rPr>
              <w:t>是否接受</w:t>
            </w:r>
          </w:p>
          <w:p w14:paraId="0D646F02">
            <w:pPr>
              <w:pStyle w:val="49"/>
              <w:spacing w:before="0" w:beforeAutospacing="0" w:after="0" w:afterAutospacing="0" w:line="24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联合体投标</w:t>
            </w:r>
            <w:bookmarkEnd w:id="72"/>
            <w:bookmarkEnd w:id="73"/>
            <w:bookmarkEnd w:id="74"/>
            <w:bookmarkEnd w:id="75"/>
            <w:bookmarkEnd w:id="76"/>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0A57">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□是 </w:t>
            </w:r>
            <w:r>
              <w:rPr>
                <w:rFonts w:hint="eastAsia" w:ascii="仿宋" w:hAnsi="仿宋" w:eastAsia="仿宋" w:cs="仿宋"/>
                <w:b w:val="0"/>
                <w:bCs w:val="0"/>
                <w:sz w:val="28"/>
                <w:szCs w:val="28"/>
                <w:highlight w:val="none"/>
              </w:rPr>
              <w:sym w:font="Wingdings 2" w:char="0052"/>
            </w:r>
            <w:r>
              <w:rPr>
                <w:rFonts w:hint="eastAsia" w:ascii="仿宋" w:hAnsi="仿宋" w:eastAsia="仿宋" w:cs="仿宋"/>
                <w:b w:val="0"/>
                <w:bCs w:val="0"/>
                <w:sz w:val="28"/>
                <w:szCs w:val="28"/>
                <w:highlight w:val="none"/>
              </w:rPr>
              <w:t>否</w:t>
            </w:r>
          </w:p>
        </w:tc>
      </w:tr>
      <w:tr w14:paraId="0669A92F">
        <w:tblPrEx>
          <w:tblCellMar>
            <w:top w:w="0" w:type="dxa"/>
            <w:left w:w="0" w:type="dxa"/>
            <w:bottom w:w="0" w:type="dxa"/>
            <w:right w:w="0" w:type="dxa"/>
          </w:tblCellMar>
        </w:tblPrEx>
        <w:trPr>
          <w:trHeight w:val="63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60EE">
            <w:pPr>
              <w:pStyle w:val="7"/>
              <w:spacing w:line="240" w:lineRule="auto"/>
              <w:jc w:val="center"/>
              <w:rPr>
                <w:rFonts w:hint="eastAsia" w:ascii="仿宋" w:hAnsi="仿宋" w:eastAsia="仿宋" w:cs="仿宋"/>
                <w:b w:val="0"/>
                <w:sz w:val="28"/>
                <w:szCs w:val="28"/>
                <w:highlight w:val="none"/>
              </w:rPr>
            </w:pPr>
            <w:bookmarkStart w:id="77" w:name="_Toc13829"/>
            <w:bookmarkEnd w:id="77"/>
            <w:bookmarkStart w:id="78" w:name="_Toc10556"/>
            <w:bookmarkEnd w:id="78"/>
            <w:bookmarkStart w:id="79" w:name="_Toc27986"/>
            <w:bookmarkEnd w:id="79"/>
            <w:bookmarkStart w:id="80" w:name="_Toc447"/>
            <w:bookmarkEnd w:id="80"/>
            <w:bookmarkStart w:id="81" w:name="_Toc5853"/>
            <w:r>
              <w:rPr>
                <w:rFonts w:hint="eastAsia" w:ascii="仿宋" w:hAnsi="仿宋" w:eastAsia="仿宋" w:cs="仿宋"/>
                <w:b w:val="0"/>
                <w:sz w:val="28"/>
                <w:szCs w:val="28"/>
                <w:highlight w:val="none"/>
              </w:rPr>
              <w:t>7</w:t>
            </w:r>
            <w:bookmarkEnd w:id="81"/>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B6F">
            <w:pPr>
              <w:pStyle w:val="7"/>
              <w:spacing w:line="240" w:lineRule="auto"/>
              <w:jc w:val="center"/>
              <w:rPr>
                <w:rFonts w:hint="eastAsia" w:ascii="仿宋" w:hAnsi="仿宋" w:eastAsia="仿宋" w:cs="仿宋"/>
                <w:b w:val="0"/>
                <w:sz w:val="28"/>
                <w:szCs w:val="28"/>
                <w:highlight w:val="none"/>
              </w:rPr>
            </w:pPr>
            <w:bookmarkStart w:id="82" w:name="_Toc27407"/>
            <w:bookmarkEnd w:id="82"/>
            <w:bookmarkStart w:id="83" w:name="_Toc26661"/>
            <w:bookmarkEnd w:id="83"/>
            <w:bookmarkStart w:id="84" w:name="_Toc17299"/>
            <w:bookmarkEnd w:id="84"/>
            <w:bookmarkStart w:id="85" w:name="_Toc24367"/>
            <w:bookmarkEnd w:id="85"/>
            <w:bookmarkStart w:id="86" w:name="_Toc31787"/>
            <w:bookmarkStart w:id="87" w:name="_Toc25500"/>
            <w:bookmarkStart w:id="88" w:name="_Toc24176"/>
            <w:r>
              <w:rPr>
                <w:rFonts w:hint="eastAsia" w:ascii="仿宋" w:hAnsi="仿宋" w:eastAsia="仿宋" w:cs="仿宋"/>
                <w:b w:val="0"/>
                <w:sz w:val="28"/>
                <w:szCs w:val="28"/>
                <w:highlight w:val="none"/>
              </w:rPr>
              <w:t>资金来源</w:t>
            </w:r>
            <w:bookmarkEnd w:id="86"/>
            <w:bookmarkEnd w:id="87"/>
            <w:bookmarkEnd w:id="88"/>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E0A4">
            <w:pPr>
              <w:pStyle w:val="7"/>
              <w:spacing w:line="240" w:lineRule="auto"/>
              <w:ind w:firstLine="560" w:firstLineChars="200"/>
              <w:jc w:val="left"/>
              <w:rPr>
                <w:rFonts w:hint="eastAsia" w:ascii="仿宋" w:hAnsi="仿宋" w:eastAsia="仿宋" w:cs="仿宋"/>
                <w:b w:val="0"/>
                <w:sz w:val="28"/>
                <w:szCs w:val="28"/>
                <w:highlight w:val="none"/>
              </w:rPr>
            </w:pPr>
            <w:bookmarkStart w:id="89" w:name="_Toc8464"/>
            <w:bookmarkEnd w:id="89"/>
            <w:bookmarkStart w:id="90" w:name="_Toc13876"/>
            <w:bookmarkEnd w:id="90"/>
            <w:bookmarkStart w:id="91" w:name="_Toc18480"/>
            <w:bookmarkEnd w:id="91"/>
            <w:bookmarkStart w:id="92" w:name="_Toc981"/>
            <w:bookmarkEnd w:id="92"/>
            <w:bookmarkStart w:id="93" w:name="_Toc29513"/>
            <w:bookmarkStart w:id="94" w:name="_Toc21922"/>
            <w:bookmarkStart w:id="95" w:name="_Toc22942"/>
            <w:r>
              <w:rPr>
                <w:rFonts w:hint="eastAsia" w:ascii="仿宋" w:hAnsi="仿宋" w:eastAsia="仿宋" w:cs="仿宋"/>
                <w:b w:val="0"/>
                <w:sz w:val="28"/>
                <w:szCs w:val="28"/>
                <w:highlight w:val="none"/>
              </w:rPr>
              <w:sym w:font="Wingdings 2" w:char="0052"/>
            </w:r>
            <w:bookmarkEnd w:id="93"/>
            <w:bookmarkEnd w:id="94"/>
            <w:r>
              <w:rPr>
                <w:rFonts w:hint="eastAsia" w:ascii="仿宋" w:hAnsi="仿宋" w:eastAsia="仿宋" w:cs="仿宋"/>
                <w:b w:val="0"/>
                <w:sz w:val="28"/>
                <w:szCs w:val="28"/>
                <w:highlight w:val="none"/>
                <w:lang w:eastAsia="zh-CN"/>
              </w:rPr>
              <w:t>自筹资金</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eastAsia="zh-CN"/>
              </w:rPr>
              <w:t>□</w:t>
            </w:r>
            <w:r>
              <w:rPr>
                <w:rFonts w:hint="eastAsia" w:ascii="仿宋" w:hAnsi="仿宋" w:eastAsia="仿宋" w:cs="仿宋"/>
                <w:b w:val="0"/>
                <w:sz w:val="28"/>
                <w:szCs w:val="28"/>
                <w:highlight w:val="none"/>
              </w:rPr>
              <w:t xml:space="preserve">预采购 </w:t>
            </w:r>
            <w:r>
              <w:rPr>
                <w:rFonts w:hint="eastAsia" w:ascii="仿宋" w:hAnsi="仿宋" w:eastAsia="仿宋" w:cs="仿宋"/>
                <w:b w:val="0"/>
                <w:sz w:val="28"/>
                <w:szCs w:val="28"/>
                <w:highlight w:val="none"/>
                <w:lang w:eastAsia="zh-CN"/>
              </w:rPr>
              <w:t>□</w:t>
            </w:r>
            <w:r>
              <w:rPr>
                <w:rFonts w:hint="eastAsia" w:ascii="仿宋" w:hAnsi="仿宋" w:eastAsia="仿宋" w:cs="仿宋"/>
                <w:b w:val="0"/>
                <w:sz w:val="28"/>
                <w:szCs w:val="28"/>
                <w:highlight w:val="none"/>
                <w:lang w:val="en-US" w:eastAsia="zh-CN"/>
              </w:rPr>
              <w:t>财政</w:t>
            </w:r>
            <w:r>
              <w:rPr>
                <w:rFonts w:hint="eastAsia" w:ascii="仿宋" w:hAnsi="仿宋" w:eastAsia="仿宋" w:cs="仿宋"/>
                <w:b w:val="0"/>
                <w:sz w:val="28"/>
                <w:szCs w:val="28"/>
                <w:highlight w:val="none"/>
              </w:rPr>
              <w:t>其他资金</w:t>
            </w:r>
            <w:bookmarkEnd w:id="95"/>
          </w:p>
        </w:tc>
      </w:tr>
      <w:tr w14:paraId="17F5D493">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5DF6">
            <w:pPr>
              <w:pStyle w:val="7"/>
              <w:spacing w:line="240" w:lineRule="auto"/>
              <w:jc w:val="center"/>
              <w:rPr>
                <w:rFonts w:hint="eastAsia" w:ascii="仿宋" w:hAnsi="仿宋" w:eastAsia="仿宋" w:cs="仿宋"/>
                <w:b w:val="0"/>
                <w:sz w:val="28"/>
                <w:szCs w:val="28"/>
                <w:highlight w:val="none"/>
              </w:rPr>
            </w:pPr>
            <w:bookmarkStart w:id="96" w:name="_Toc8929"/>
            <w:bookmarkEnd w:id="96"/>
            <w:bookmarkStart w:id="97" w:name="_Toc25714"/>
            <w:bookmarkEnd w:id="97"/>
            <w:bookmarkStart w:id="98" w:name="_Toc15071"/>
            <w:bookmarkEnd w:id="98"/>
            <w:bookmarkStart w:id="99" w:name="_Toc32670"/>
            <w:bookmarkEnd w:id="99"/>
            <w:bookmarkStart w:id="100" w:name="_Toc9388"/>
            <w:bookmarkEnd w:id="100"/>
            <w:bookmarkStart w:id="101" w:name="_Toc24807"/>
            <w:bookmarkEnd w:id="101"/>
            <w:bookmarkStart w:id="102" w:name="_Toc2735"/>
            <w:bookmarkEnd w:id="102"/>
            <w:bookmarkStart w:id="103" w:name="_Toc4528"/>
            <w:bookmarkEnd w:id="103"/>
            <w:bookmarkStart w:id="104" w:name="_Toc24724"/>
            <w:r>
              <w:rPr>
                <w:rFonts w:hint="eastAsia" w:ascii="仿宋" w:hAnsi="仿宋" w:eastAsia="仿宋" w:cs="仿宋"/>
                <w:b w:val="0"/>
                <w:sz w:val="28"/>
                <w:szCs w:val="28"/>
                <w:highlight w:val="none"/>
              </w:rPr>
              <w:t>8</w:t>
            </w:r>
            <w:bookmarkEnd w:id="104"/>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E033">
            <w:pPr>
              <w:pStyle w:val="7"/>
              <w:spacing w:line="240" w:lineRule="auto"/>
              <w:jc w:val="center"/>
              <w:rPr>
                <w:rFonts w:hint="eastAsia" w:ascii="仿宋" w:hAnsi="仿宋" w:eastAsia="仿宋" w:cs="仿宋"/>
                <w:b w:val="0"/>
                <w:sz w:val="28"/>
                <w:szCs w:val="28"/>
                <w:highlight w:val="none"/>
              </w:rPr>
            </w:pPr>
            <w:bookmarkStart w:id="105" w:name="_Toc18419"/>
            <w:bookmarkEnd w:id="105"/>
            <w:bookmarkStart w:id="106" w:name="_Toc12049"/>
            <w:bookmarkEnd w:id="106"/>
            <w:bookmarkStart w:id="107" w:name="_Toc1343"/>
            <w:bookmarkEnd w:id="107"/>
            <w:bookmarkStart w:id="108" w:name="_Toc21061"/>
            <w:bookmarkEnd w:id="108"/>
            <w:bookmarkStart w:id="109" w:name="_Toc22437"/>
            <w:bookmarkStart w:id="110" w:name="_Toc9402"/>
            <w:bookmarkStart w:id="111" w:name="_Toc172"/>
            <w:r>
              <w:rPr>
                <w:rFonts w:hint="eastAsia" w:ascii="仿宋" w:hAnsi="仿宋" w:eastAsia="仿宋" w:cs="仿宋"/>
                <w:b w:val="0"/>
                <w:sz w:val="28"/>
                <w:szCs w:val="28"/>
                <w:highlight w:val="none"/>
              </w:rPr>
              <w:t>采购范围</w:t>
            </w:r>
            <w:bookmarkEnd w:id="109"/>
            <w:bookmarkEnd w:id="110"/>
            <w:bookmarkEnd w:id="111"/>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1B88">
            <w:pPr>
              <w:pStyle w:val="7"/>
              <w:spacing w:line="240" w:lineRule="auto"/>
              <w:ind w:firstLine="560" w:firstLineChars="200"/>
              <w:jc w:val="both"/>
              <w:rPr>
                <w:rFonts w:hint="eastAsia" w:ascii="仿宋" w:hAnsi="仿宋" w:eastAsia="仿宋" w:cs="仿宋"/>
                <w:b w:val="0"/>
                <w:sz w:val="28"/>
                <w:szCs w:val="28"/>
                <w:highlight w:val="none"/>
              </w:rPr>
            </w:pPr>
            <w:bookmarkStart w:id="112" w:name="_Toc14235"/>
            <w:bookmarkEnd w:id="112"/>
            <w:bookmarkStart w:id="113" w:name="_Toc12454"/>
            <w:bookmarkEnd w:id="113"/>
            <w:bookmarkStart w:id="114" w:name="_Toc32573"/>
            <w:bookmarkEnd w:id="114"/>
            <w:bookmarkStart w:id="115" w:name="_Toc30579"/>
            <w:bookmarkEnd w:id="115"/>
            <w:bookmarkStart w:id="116" w:name="_Toc11844"/>
            <w:bookmarkStart w:id="117" w:name="_Toc7567"/>
            <w:bookmarkStart w:id="118" w:name="_Toc8206"/>
            <w:r>
              <w:rPr>
                <w:rFonts w:hint="eastAsia" w:ascii="仿宋" w:hAnsi="仿宋" w:eastAsia="仿宋" w:cs="仿宋"/>
                <w:b w:val="0"/>
                <w:sz w:val="28"/>
                <w:szCs w:val="28"/>
                <w:highlight w:val="none"/>
              </w:rPr>
              <w:t>详见采购需求答疑文件等全部内容</w:t>
            </w:r>
            <w:bookmarkEnd w:id="116"/>
            <w:bookmarkEnd w:id="117"/>
            <w:bookmarkEnd w:id="118"/>
          </w:p>
        </w:tc>
      </w:tr>
      <w:tr w14:paraId="2B9E71B2">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1C6D">
            <w:pPr>
              <w:pStyle w:val="7"/>
              <w:spacing w:line="240" w:lineRule="auto"/>
              <w:jc w:val="center"/>
              <w:rPr>
                <w:rFonts w:hint="eastAsia" w:ascii="仿宋" w:hAnsi="仿宋" w:eastAsia="仿宋" w:cs="仿宋"/>
                <w:b w:val="0"/>
                <w:sz w:val="28"/>
                <w:szCs w:val="28"/>
                <w:highlight w:val="none"/>
              </w:rPr>
            </w:pPr>
            <w:bookmarkStart w:id="119" w:name="_Toc18320"/>
            <w:bookmarkEnd w:id="119"/>
            <w:bookmarkStart w:id="120" w:name="_Toc3121"/>
            <w:bookmarkEnd w:id="120"/>
            <w:bookmarkStart w:id="121" w:name="_Toc28478"/>
            <w:bookmarkEnd w:id="121"/>
            <w:bookmarkStart w:id="122" w:name="_Toc15433"/>
            <w:bookmarkEnd w:id="122"/>
            <w:bookmarkStart w:id="123" w:name="_Toc6109"/>
            <w:r>
              <w:rPr>
                <w:rFonts w:hint="eastAsia" w:ascii="仿宋" w:hAnsi="仿宋" w:eastAsia="仿宋" w:cs="仿宋"/>
                <w:b w:val="0"/>
                <w:sz w:val="28"/>
                <w:szCs w:val="28"/>
                <w:highlight w:val="none"/>
              </w:rPr>
              <w:t>9</w:t>
            </w:r>
            <w:bookmarkEnd w:id="123"/>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0083">
            <w:pPr>
              <w:pStyle w:val="7"/>
              <w:spacing w:line="240" w:lineRule="auto"/>
              <w:jc w:val="center"/>
              <w:rPr>
                <w:rFonts w:hint="eastAsia" w:ascii="仿宋" w:hAnsi="仿宋" w:eastAsia="仿宋" w:cs="仿宋"/>
                <w:b w:val="0"/>
                <w:sz w:val="28"/>
                <w:szCs w:val="28"/>
                <w:highlight w:val="none"/>
              </w:rPr>
            </w:pPr>
            <w:bookmarkStart w:id="124" w:name="_Toc18840"/>
            <w:bookmarkEnd w:id="124"/>
            <w:bookmarkStart w:id="125" w:name="_Toc20382"/>
            <w:bookmarkEnd w:id="125"/>
            <w:bookmarkStart w:id="126" w:name="_Toc21015"/>
            <w:bookmarkEnd w:id="126"/>
            <w:bookmarkStart w:id="127" w:name="_Toc3488"/>
            <w:bookmarkEnd w:id="127"/>
            <w:bookmarkStart w:id="128" w:name="_Toc28390"/>
            <w:bookmarkStart w:id="129" w:name="_Toc28642"/>
            <w:bookmarkStart w:id="130" w:name="_Toc26350"/>
            <w:r>
              <w:rPr>
                <w:rFonts w:hint="eastAsia" w:ascii="仿宋" w:hAnsi="仿宋" w:eastAsia="仿宋" w:cs="仿宋"/>
                <w:b w:val="0"/>
                <w:sz w:val="28"/>
                <w:szCs w:val="28"/>
                <w:highlight w:val="none"/>
              </w:rPr>
              <w:t>报价要求</w:t>
            </w:r>
            <w:bookmarkEnd w:id="128"/>
            <w:bookmarkEnd w:id="129"/>
            <w:bookmarkEnd w:id="130"/>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7B40">
            <w:pPr>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报价唯一，且不超过最高投标限价。</w:t>
            </w:r>
          </w:p>
          <w:p w14:paraId="54339912">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注：供应商的报价应包含完成采购内容所发生的一切费用及质量保修期内发生的任何缺陷修复所需的一切费用，供应商需在投标报价中综合考虑，谨慎报价。</w:t>
            </w:r>
          </w:p>
        </w:tc>
      </w:tr>
      <w:tr w14:paraId="46C0E5A5">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2539">
            <w:pPr>
              <w:pStyle w:val="7"/>
              <w:spacing w:line="240" w:lineRule="auto"/>
              <w:jc w:val="center"/>
              <w:rPr>
                <w:rFonts w:hint="eastAsia" w:ascii="仿宋" w:hAnsi="仿宋" w:eastAsia="仿宋" w:cs="仿宋"/>
                <w:b w:val="0"/>
                <w:sz w:val="28"/>
                <w:szCs w:val="28"/>
                <w:highlight w:val="none"/>
              </w:rPr>
            </w:pPr>
            <w:bookmarkStart w:id="131" w:name="_Toc7418"/>
            <w:bookmarkEnd w:id="131"/>
            <w:bookmarkStart w:id="132" w:name="_Toc7315"/>
            <w:bookmarkEnd w:id="132"/>
            <w:bookmarkStart w:id="133" w:name="_Toc20949"/>
            <w:r>
              <w:rPr>
                <w:rFonts w:hint="eastAsia" w:ascii="仿宋" w:hAnsi="仿宋" w:eastAsia="仿宋" w:cs="仿宋"/>
                <w:b w:val="0"/>
                <w:sz w:val="28"/>
                <w:szCs w:val="28"/>
                <w:highlight w:val="none"/>
              </w:rPr>
              <w:t>10</w:t>
            </w:r>
            <w:bookmarkEnd w:id="133"/>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E0AE">
            <w:pPr>
              <w:pStyle w:val="7"/>
              <w:spacing w:line="240" w:lineRule="auto"/>
              <w:ind w:firstLine="280" w:firstLineChars="100"/>
              <w:jc w:val="center"/>
              <w:rPr>
                <w:rFonts w:hint="eastAsia" w:ascii="仿宋" w:hAnsi="仿宋" w:eastAsia="仿宋" w:cs="仿宋"/>
                <w:b w:val="0"/>
                <w:sz w:val="28"/>
                <w:szCs w:val="28"/>
                <w:highlight w:val="none"/>
              </w:rPr>
            </w:pPr>
            <w:bookmarkStart w:id="134" w:name="_Toc13478"/>
            <w:bookmarkStart w:id="135" w:name="_Toc19443"/>
            <w:bookmarkStart w:id="136" w:name="_Toc27335"/>
            <w:r>
              <w:rPr>
                <w:rFonts w:hint="eastAsia" w:ascii="仿宋" w:hAnsi="仿宋" w:eastAsia="仿宋" w:cs="仿宋"/>
                <w:b w:val="0"/>
                <w:sz w:val="28"/>
                <w:szCs w:val="28"/>
                <w:highlight w:val="none"/>
              </w:rPr>
              <w:t>合同履行期限</w:t>
            </w:r>
            <w:bookmarkEnd w:id="134"/>
            <w:bookmarkEnd w:id="135"/>
            <w:bookmarkEnd w:id="136"/>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50E8">
            <w:pPr>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60日</w:t>
            </w:r>
          </w:p>
        </w:tc>
      </w:tr>
      <w:tr w14:paraId="04847EC8">
        <w:tblPrEx>
          <w:tblCellMar>
            <w:top w:w="0" w:type="dxa"/>
            <w:left w:w="0" w:type="dxa"/>
            <w:bottom w:w="0" w:type="dxa"/>
            <w:right w:w="0" w:type="dxa"/>
          </w:tblCellMar>
        </w:tblPrEx>
        <w:trPr>
          <w:trHeight w:val="63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4937">
            <w:pPr>
              <w:pStyle w:val="7"/>
              <w:spacing w:line="240" w:lineRule="auto"/>
              <w:jc w:val="center"/>
              <w:rPr>
                <w:rFonts w:hint="eastAsia" w:ascii="仿宋" w:hAnsi="仿宋" w:eastAsia="仿宋" w:cs="仿宋"/>
                <w:b w:val="0"/>
                <w:sz w:val="28"/>
                <w:szCs w:val="28"/>
                <w:highlight w:val="none"/>
              </w:rPr>
            </w:pPr>
            <w:bookmarkStart w:id="137" w:name="_Toc24102"/>
            <w:r>
              <w:rPr>
                <w:rFonts w:hint="eastAsia" w:ascii="仿宋" w:hAnsi="仿宋" w:eastAsia="仿宋" w:cs="仿宋"/>
                <w:b w:val="0"/>
                <w:sz w:val="28"/>
                <w:szCs w:val="28"/>
                <w:highlight w:val="none"/>
              </w:rPr>
              <w:t>11</w:t>
            </w:r>
            <w:bookmarkEnd w:id="137"/>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103B">
            <w:pPr>
              <w:pStyle w:val="7"/>
              <w:spacing w:line="240" w:lineRule="auto"/>
              <w:ind w:firstLine="280" w:firstLineChars="100"/>
              <w:jc w:val="center"/>
              <w:rPr>
                <w:rFonts w:hint="eastAsia" w:ascii="仿宋" w:hAnsi="仿宋" w:eastAsia="仿宋" w:cs="仿宋"/>
                <w:b w:val="0"/>
                <w:sz w:val="28"/>
                <w:szCs w:val="28"/>
                <w:highlight w:val="none"/>
              </w:rPr>
            </w:pPr>
            <w:bookmarkStart w:id="138" w:name="_Toc26625"/>
            <w:r>
              <w:rPr>
                <w:rFonts w:hint="eastAsia" w:ascii="仿宋" w:hAnsi="仿宋" w:eastAsia="仿宋" w:cs="仿宋"/>
                <w:b w:val="0"/>
                <w:sz w:val="28"/>
                <w:szCs w:val="28"/>
                <w:highlight w:val="none"/>
              </w:rPr>
              <w:t>质量要求</w:t>
            </w:r>
            <w:bookmarkEnd w:id="138"/>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CB6">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合格</w:t>
            </w:r>
          </w:p>
        </w:tc>
      </w:tr>
      <w:tr w14:paraId="52E72110">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DF14">
            <w:pPr>
              <w:pStyle w:val="7"/>
              <w:spacing w:line="240" w:lineRule="auto"/>
              <w:jc w:val="center"/>
              <w:rPr>
                <w:rFonts w:hint="eastAsia" w:ascii="仿宋" w:hAnsi="仿宋" w:eastAsia="仿宋" w:cs="仿宋"/>
                <w:b w:val="0"/>
                <w:sz w:val="28"/>
                <w:szCs w:val="28"/>
                <w:highlight w:val="none"/>
              </w:rPr>
            </w:pPr>
            <w:bookmarkStart w:id="139" w:name="_Toc715"/>
            <w:r>
              <w:rPr>
                <w:rFonts w:hint="eastAsia" w:ascii="仿宋" w:hAnsi="仿宋" w:eastAsia="仿宋" w:cs="仿宋"/>
                <w:b w:val="0"/>
                <w:sz w:val="28"/>
                <w:szCs w:val="28"/>
                <w:highlight w:val="none"/>
              </w:rPr>
              <w:t>12</w:t>
            </w:r>
            <w:bookmarkEnd w:id="139"/>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AF27">
            <w:pPr>
              <w:pStyle w:val="7"/>
              <w:spacing w:line="240" w:lineRule="auto"/>
              <w:ind w:firstLine="280" w:firstLineChars="100"/>
              <w:jc w:val="center"/>
              <w:rPr>
                <w:rFonts w:hint="eastAsia" w:ascii="仿宋" w:hAnsi="仿宋" w:eastAsia="仿宋" w:cs="仿宋"/>
                <w:b w:val="0"/>
                <w:sz w:val="28"/>
                <w:szCs w:val="28"/>
                <w:highlight w:val="none"/>
              </w:rPr>
            </w:pPr>
            <w:bookmarkStart w:id="140" w:name="_Toc26378"/>
            <w:r>
              <w:rPr>
                <w:rFonts w:hint="eastAsia" w:ascii="仿宋" w:hAnsi="仿宋" w:eastAsia="仿宋" w:cs="仿宋"/>
                <w:b w:val="0"/>
                <w:sz w:val="28"/>
                <w:szCs w:val="28"/>
                <w:highlight w:val="none"/>
              </w:rPr>
              <w:t>缺陷责任期</w:t>
            </w:r>
            <w:bookmarkEnd w:id="140"/>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6A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个月</w:t>
            </w:r>
          </w:p>
        </w:tc>
      </w:tr>
      <w:tr w14:paraId="19918797">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B01B">
            <w:pPr>
              <w:pStyle w:val="7"/>
              <w:spacing w:line="240" w:lineRule="auto"/>
              <w:jc w:val="center"/>
              <w:rPr>
                <w:rFonts w:hint="eastAsia" w:ascii="仿宋" w:hAnsi="仿宋" w:eastAsia="仿宋" w:cs="仿宋"/>
                <w:b w:val="0"/>
                <w:sz w:val="28"/>
                <w:szCs w:val="28"/>
                <w:highlight w:val="none"/>
              </w:rPr>
            </w:pPr>
            <w:bookmarkStart w:id="141" w:name="_Toc17255"/>
            <w:r>
              <w:rPr>
                <w:rFonts w:hint="eastAsia" w:ascii="仿宋" w:hAnsi="仿宋" w:eastAsia="仿宋" w:cs="仿宋"/>
                <w:b w:val="0"/>
                <w:sz w:val="28"/>
                <w:szCs w:val="28"/>
                <w:highlight w:val="none"/>
              </w:rPr>
              <w:t>13</w:t>
            </w:r>
            <w:bookmarkEnd w:id="141"/>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AD9">
            <w:pPr>
              <w:pStyle w:val="7"/>
              <w:spacing w:line="240" w:lineRule="auto"/>
              <w:jc w:val="center"/>
              <w:rPr>
                <w:rFonts w:hint="eastAsia" w:ascii="仿宋" w:hAnsi="仿宋" w:eastAsia="仿宋" w:cs="仿宋"/>
                <w:b w:val="0"/>
                <w:sz w:val="28"/>
                <w:szCs w:val="28"/>
                <w:highlight w:val="none"/>
              </w:rPr>
            </w:pPr>
            <w:bookmarkStart w:id="142" w:name="_Toc25390"/>
            <w:bookmarkEnd w:id="142"/>
            <w:bookmarkStart w:id="143" w:name="_Toc24115"/>
            <w:bookmarkStart w:id="144" w:name="_Toc12993"/>
            <w:bookmarkStart w:id="145" w:name="_Toc24297"/>
            <w:r>
              <w:rPr>
                <w:rFonts w:hint="eastAsia" w:ascii="仿宋" w:hAnsi="仿宋" w:eastAsia="仿宋" w:cs="仿宋"/>
                <w:b w:val="0"/>
                <w:sz w:val="28"/>
                <w:szCs w:val="28"/>
                <w:highlight w:val="none"/>
              </w:rPr>
              <w:t>供应商</w:t>
            </w:r>
            <w:bookmarkEnd w:id="143"/>
          </w:p>
          <w:p w14:paraId="07B9109A">
            <w:pPr>
              <w:pStyle w:val="7"/>
              <w:spacing w:line="240" w:lineRule="auto"/>
              <w:jc w:val="center"/>
              <w:rPr>
                <w:rFonts w:hint="eastAsia" w:ascii="仿宋" w:hAnsi="仿宋" w:eastAsia="仿宋" w:cs="仿宋"/>
                <w:b w:val="0"/>
                <w:sz w:val="28"/>
                <w:szCs w:val="28"/>
                <w:highlight w:val="none"/>
              </w:rPr>
            </w:pPr>
            <w:bookmarkStart w:id="146" w:name="_Toc23697"/>
            <w:r>
              <w:rPr>
                <w:rFonts w:hint="eastAsia" w:ascii="仿宋" w:hAnsi="仿宋" w:eastAsia="仿宋" w:cs="仿宋"/>
                <w:b w:val="0"/>
                <w:sz w:val="28"/>
                <w:szCs w:val="28"/>
                <w:highlight w:val="none"/>
              </w:rPr>
              <w:t>资质条件</w:t>
            </w:r>
            <w:bookmarkEnd w:id="144"/>
            <w:bookmarkEnd w:id="145"/>
            <w:bookmarkEnd w:id="146"/>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D6AF">
            <w:pPr>
              <w:keepNext w:val="0"/>
              <w:keepLines w:val="0"/>
              <w:pageBreakBefore w:val="0"/>
              <w:kinsoku/>
              <w:wordWrap w:val="0"/>
              <w:overflowPunct/>
              <w:autoSpaceDE/>
              <w:autoSpaceDN/>
              <w:bidi w:val="0"/>
              <w:adjustRightInd/>
              <w:snapToGrid/>
              <w:spacing w:before="160" w:beforeLines="50" w:beforeAutospacing="0" w:after="160" w:afterLines="50" w:afterAutospacing="0"/>
              <w:ind w:leftChars="0" w:firstLine="560" w:firstLineChars="200"/>
              <w:rPr>
                <w:rFonts w:hint="eastAsia" w:ascii="仿宋" w:hAnsi="仿宋" w:eastAsia="仿宋" w:cs="仿宋"/>
                <w:sz w:val="28"/>
                <w:szCs w:val="28"/>
                <w:highlight w:val="none"/>
                <w:lang w:eastAsia="zh-CN"/>
              </w:rPr>
            </w:pPr>
            <w:bookmarkStart w:id="147" w:name="_Toc29692"/>
            <w:bookmarkEnd w:id="147"/>
            <w:r>
              <w:rPr>
                <w:rFonts w:hint="eastAsia" w:ascii="仿宋" w:hAnsi="仿宋" w:eastAsia="仿宋" w:cs="仿宋"/>
                <w:snapToGrid/>
                <w:color w:val="000000" w:themeColor="text1"/>
                <w:kern w:val="0"/>
                <w:sz w:val="28"/>
                <w:szCs w:val="28"/>
                <w:highlight w:val="none"/>
                <w:shd w:val="clear" w:color="auto" w:fill="auto"/>
                <w14:textFill>
                  <w14:solidFill>
                    <w14:schemeClr w14:val="tx1"/>
                  </w14:solidFill>
                </w14:textFill>
              </w:rPr>
              <w:t>1.</w:t>
            </w:r>
            <w:r>
              <w:rPr>
                <w:rFonts w:hint="eastAsia" w:ascii="仿宋" w:hAnsi="仿宋" w:eastAsia="仿宋" w:cs="仿宋"/>
                <w:snapToGrid/>
                <w:color w:val="000000" w:themeColor="text1"/>
                <w:kern w:val="0"/>
                <w:sz w:val="28"/>
                <w:szCs w:val="28"/>
                <w:highlight w:val="none"/>
                <w:shd w:val="clear" w:color="auto" w:fill="auto"/>
                <w:lang w:eastAsia="zh-CN"/>
                <w14:textFill>
                  <w14:solidFill>
                    <w14:schemeClr w14:val="tx1"/>
                  </w14:solidFill>
                </w14:textFill>
              </w:rPr>
              <w:t>详见磋商公告</w:t>
            </w:r>
          </w:p>
        </w:tc>
      </w:tr>
      <w:tr w14:paraId="08CC3636">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BC97">
            <w:pPr>
              <w:pStyle w:val="7"/>
              <w:spacing w:line="240" w:lineRule="auto"/>
              <w:jc w:val="center"/>
              <w:rPr>
                <w:rFonts w:hint="eastAsia" w:ascii="仿宋" w:hAnsi="仿宋" w:eastAsia="仿宋" w:cs="仿宋"/>
                <w:b w:val="0"/>
                <w:sz w:val="28"/>
                <w:szCs w:val="28"/>
                <w:highlight w:val="none"/>
              </w:rPr>
            </w:pPr>
            <w:bookmarkStart w:id="148" w:name="_Toc6629"/>
            <w:r>
              <w:rPr>
                <w:rFonts w:hint="eastAsia" w:ascii="仿宋" w:hAnsi="仿宋" w:eastAsia="仿宋" w:cs="仿宋"/>
                <w:b w:val="0"/>
                <w:sz w:val="28"/>
                <w:szCs w:val="28"/>
                <w:highlight w:val="none"/>
              </w:rPr>
              <w:t>14</w:t>
            </w:r>
            <w:bookmarkEnd w:id="148"/>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A900">
            <w:pPr>
              <w:pStyle w:val="7"/>
              <w:spacing w:line="240" w:lineRule="auto"/>
              <w:jc w:val="center"/>
              <w:rPr>
                <w:rFonts w:hint="eastAsia" w:ascii="仿宋" w:hAnsi="仿宋" w:eastAsia="仿宋" w:cs="仿宋"/>
                <w:b w:val="0"/>
                <w:sz w:val="28"/>
                <w:szCs w:val="28"/>
                <w:highlight w:val="none"/>
              </w:rPr>
            </w:pPr>
            <w:bookmarkStart w:id="149" w:name="_Toc32544"/>
            <w:bookmarkEnd w:id="149"/>
            <w:bookmarkStart w:id="150" w:name="_Toc2710"/>
            <w:bookmarkStart w:id="151" w:name="_Toc12253"/>
            <w:bookmarkStart w:id="152" w:name="_Toc21946"/>
            <w:r>
              <w:rPr>
                <w:rFonts w:hint="eastAsia" w:ascii="仿宋" w:hAnsi="仿宋" w:eastAsia="仿宋" w:cs="仿宋"/>
                <w:b w:val="0"/>
                <w:sz w:val="28"/>
                <w:szCs w:val="28"/>
                <w:highlight w:val="none"/>
              </w:rPr>
              <w:t>踏勘现场</w:t>
            </w:r>
            <w:bookmarkEnd w:id="150"/>
            <w:bookmarkEnd w:id="151"/>
            <w:bookmarkEnd w:id="152"/>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3EC2">
            <w:pPr>
              <w:spacing w:line="240" w:lineRule="auto"/>
              <w:ind w:firstLine="560" w:firstLineChars="200"/>
              <w:jc w:val="left"/>
              <w:rPr>
                <w:rFonts w:hint="eastAsia" w:ascii="仿宋" w:hAnsi="仿宋" w:eastAsia="仿宋" w:cs="仿宋"/>
                <w:sz w:val="28"/>
                <w:szCs w:val="28"/>
                <w:highlight w:val="none"/>
              </w:rPr>
            </w:pPr>
            <w:bookmarkStart w:id="153" w:name="_Toc8346"/>
            <w:bookmarkEnd w:id="153"/>
            <w:bookmarkStart w:id="154" w:name="_Toc143449670"/>
            <w:bookmarkStart w:id="155" w:name="_Toc143448948"/>
            <w:bookmarkStart w:id="156" w:name="_Toc144968981"/>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不组织，供应商自行考察   □统一组织</w:t>
            </w:r>
            <w:bookmarkEnd w:id="154"/>
            <w:bookmarkEnd w:id="155"/>
            <w:bookmarkEnd w:id="156"/>
          </w:p>
          <w:p w14:paraId="36DBBA22">
            <w:pPr>
              <w:spacing w:line="240" w:lineRule="auto"/>
              <w:ind w:firstLine="560" w:firstLineChars="200"/>
              <w:jc w:val="left"/>
              <w:rPr>
                <w:rFonts w:hint="eastAsia" w:ascii="仿宋" w:hAnsi="仿宋" w:eastAsia="仿宋" w:cs="仿宋"/>
                <w:sz w:val="28"/>
                <w:szCs w:val="28"/>
                <w:highlight w:val="none"/>
              </w:rPr>
            </w:pPr>
            <w:bookmarkStart w:id="157" w:name="_Toc143449671"/>
            <w:bookmarkStart w:id="158" w:name="_Toc143448949"/>
            <w:bookmarkStart w:id="159" w:name="_Toc144968982"/>
            <w:r>
              <w:rPr>
                <w:rFonts w:hint="eastAsia" w:ascii="仿宋" w:hAnsi="仿宋" w:eastAsia="仿宋" w:cs="仿宋"/>
                <w:sz w:val="28"/>
                <w:szCs w:val="28"/>
                <w:highlight w:val="none"/>
              </w:rPr>
              <w:t>时间：xxxx年xxxx月xxxx日xxxx 时xxxx分</w:t>
            </w:r>
            <w:bookmarkEnd w:id="157"/>
            <w:bookmarkEnd w:id="158"/>
            <w:bookmarkEnd w:id="159"/>
          </w:p>
          <w:p w14:paraId="10C8E5B9">
            <w:pPr>
              <w:spacing w:line="240" w:lineRule="auto"/>
              <w:ind w:firstLine="560" w:firstLineChars="200"/>
              <w:jc w:val="left"/>
              <w:rPr>
                <w:rFonts w:hint="eastAsia" w:ascii="仿宋" w:hAnsi="仿宋" w:eastAsia="仿宋" w:cs="仿宋"/>
                <w:sz w:val="28"/>
                <w:szCs w:val="28"/>
                <w:highlight w:val="none"/>
              </w:rPr>
            </w:pPr>
            <w:bookmarkStart w:id="160" w:name="_Toc143449672"/>
            <w:bookmarkStart w:id="161" w:name="_Toc144968983"/>
            <w:bookmarkStart w:id="162" w:name="_Toc143448950"/>
            <w:r>
              <w:rPr>
                <w:rFonts w:hint="eastAsia" w:ascii="仿宋" w:hAnsi="仿宋" w:eastAsia="仿宋" w:cs="仿宋"/>
                <w:sz w:val="28"/>
                <w:szCs w:val="28"/>
                <w:highlight w:val="none"/>
              </w:rPr>
              <w:t>地点：xxxx xxxx xxxx xxxx xxxx</w:t>
            </w:r>
            <w:bookmarkEnd w:id="160"/>
            <w:bookmarkEnd w:id="161"/>
            <w:bookmarkEnd w:id="162"/>
          </w:p>
          <w:p w14:paraId="5056D45B">
            <w:pPr>
              <w:spacing w:line="240" w:lineRule="auto"/>
              <w:ind w:firstLine="560" w:firstLineChars="200"/>
              <w:jc w:val="left"/>
              <w:rPr>
                <w:rFonts w:hint="eastAsia" w:ascii="仿宋" w:hAnsi="仿宋" w:eastAsia="仿宋" w:cs="仿宋"/>
                <w:sz w:val="28"/>
                <w:szCs w:val="28"/>
                <w:highlight w:val="none"/>
              </w:rPr>
            </w:pPr>
            <w:bookmarkStart w:id="163" w:name="_Toc143448951"/>
            <w:bookmarkStart w:id="164" w:name="_Toc144968984"/>
            <w:bookmarkStart w:id="165" w:name="_Toc143449673"/>
            <w:r>
              <w:rPr>
                <w:rFonts w:hint="eastAsia" w:ascii="仿宋" w:hAnsi="仿宋" w:eastAsia="仿宋" w:cs="仿宋"/>
                <w:sz w:val="28"/>
                <w:szCs w:val="28"/>
                <w:highlight w:val="none"/>
              </w:rPr>
              <w:t>现场考察联系人及联系电话：xxxx xxxx xxxx xxxx</w:t>
            </w:r>
            <w:bookmarkEnd w:id="163"/>
            <w:bookmarkEnd w:id="164"/>
            <w:bookmarkEnd w:id="165"/>
          </w:p>
          <w:p w14:paraId="587F0068">
            <w:pPr>
              <w:spacing w:line="240" w:lineRule="auto"/>
              <w:ind w:firstLine="560" w:firstLineChars="200"/>
              <w:jc w:val="left"/>
              <w:rPr>
                <w:rFonts w:hint="eastAsia" w:ascii="仿宋" w:hAnsi="仿宋" w:eastAsia="仿宋" w:cs="仿宋"/>
                <w:sz w:val="28"/>
                <w:szCs w:val="28"/>
                <w:highlight w:val="none"/>
              </w:rPr>
            </w:pPr>
            <w:bookmarkStart w:id="166" w:name="_Toc143448952"/>
            <w:bookmarkStart w:id="167" w:name="_Toc144968985"/>
            <w:bookmarkStart w:id="168" w:name="_Toc143449674"/>
            <w:r>
              <w:rPr>
                <w:rFonts w:hint="eastAsia" w:ascii="仿宋" w:hAnsi="仿宋" w:eastAsia="仿宋" w:cs="仿宋"/>
                <w:sz w:val="28"/>
                <w:szCs w:val="28"/>
                <w:highlight w:val="none"/>
              </w:rPr>
              <w:t>备注：如供应商未参加采购人统一组织的现场考察，视同放弃现场考察，由此引起的一切责任由供应商自行承担。</w:t>
            </w:r>
            <w:bookmarkEnd w:id="166"/>
            <w:bookmarkEnd w:id="167"/>
            <w:bookmarkEnd w:id="168"/>
          </w:p>
        </w:tc>
      </w:tr>
      <w:tr w14:paraId="3459B0E3">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96F5">
            <w:pPr>
              <w:pStyle w:val="7"/>
              <w:spacing w:line="240" w:lineRule="auto"/>
              <w:jc w:val="center"/>
              <w:rPr>
                <w:rFonts w:hint="eastAsia" w:ascii="仿宋" w:hAnsi="仿宋" w:eastAsia="仿宋" w:cs="仿宋"/>
                <w:b w:val="0"/>
                <w:sz w:val="28"/>
                <w:szCs w:val="28"/>
                <w:highlight w:val="none"/>
              </w:rPr>
            </w:pPr>
            <w:bookmarkStart w:id="169" w:name="_Toc2219"/>
            <w:r>
              <w:rPr>
                <w:rFonts w:hint="eastAsia" w:ascii="仿宋" w:hAnsi="仿宋" w:eastAsia="仿宋" w:cs="仿宋"/>
                <w:b w:val="0"/>
                <w:sz w:val="28"/>
                <w:szCs w:val="28"/>
                <w:highlight w:val="none"/>
              </w:rPr>
              <w:t>15</w:t>
            </w:r>
            <w:bookmarkEnd w:id="169"/>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035F">
            <w:pPr>
              <w:pStyle w:val="7"/>
              <w:spacing w:line="240" w:lineRule="auto"/>
              <w:jc w:val="center"/>
              <w:rPr>
                <w:rFonts w:hint="eastAsia" w:ascii="仿宋" w:hAnsi="仿宋" w:eastAsia="仿宋" w:cs="仿宋"/>
                <w:b w:val="0"/>
                <w:sz w:val="28"/>
                <w:szCs w:val="28"/>
                <w:highlight w:val="none"/>
              </w:rPr>
            </w:pPr>
            <w:bookmarkStart w:id="170" w:name="_Toc29045"/>
            <w:bookmarkEnd w:id="170"/>
            <w:bookmarkStart w:id="171" w:name="_Toc4877"/>
            <w:bookmarkStart w:id="172" w:name="_Toc9594"/>
            <w:bookmarkStart w:id="173" w:name="_Toc32606"/>
            <w:r>
              <w:rPr>
                <w:rFonts w:hint="eastAsia" w:ascii="仿宋" w:hAnsi="仿宋" w:eastAsia="仿宋" w:cs="仿宋"/>
                <w:b w:val="0"/>
                <w:sz w:val="28"/>
                <w:szCs w:val="28"/>
                <w:highlight w:val="none"/>
              </w:rPr>
              <w:t>磋商预备会</w:t>
            </w:r>
            <w:bookmarkEnd w:id="171"/>
            <w:bookmarkEnd w:id="172"/>
            <w:bookmarkEnd w:id="173"/>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7F4E">
            <w:pPr>
              <w:pStyle w:val="7"/>
              <w:spacing w:line="240" w:lineRule="auto"/>
              <w:ind w:firstLine="560" w:firstLineChars="200"/>
              <w:jc w:val="both"/>
              <w:rPr>
                <w:rFonts w:hint="eastAsia" w:ascii="仿宋" w:hAnsi="仿宋" w:eastAsia="仿宋" w:cs="仿宋"/>
                <w:b w:val="0"/>
                <w:sz w:val="28"/>
                <w:szCs w:val="28"/>
                <w:highlight w:val="none"/>
              </w:rPr>
            </w:pPr>
            <w:bookmarkStart w:id="174" w:name="_Toc11268"/>
            <w:bookmarkEnd w:id="174"/>
            <w:bookmarkStart w:id="175" w:name="_Toc25628"/>
            <w:bookmarkStart w:id="176" w:name="_Toc198"/>
            <w:bookmarkStart w:id="177" w:name="_Toc14514"/>
            <w:r>
              <w:rPr>
                <w:rFonts w:hint="eastAsia" w:ascii="仿宋" w:hAnsi="仿宋" w:eastAsia="仿宋" w:cs="仿宋"/>
                <w:b w:val="0"/>
                <w:sz w:val="28"/>
                <w:szCs w:val="28"/>
                <w:highlight w:val="none"/>
              </w:rPr>
              <w:t>不召开</w:t>
            </w:r>
            <w:bookmarkEnd w:id="175"/>
            <w:bookmarkEnd w:id="176"/>
            <w:bookmarkEnd w:id="177"/>
          </w:p>
        </w:tc>
      </w:tr>
      <w:tr w14:paraId="4CDA2141">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ABF4">
            <w:pPr>
              <w:pStyle w:val="7"/>
              <w:spacing w:line="240" w:lineRule="auto"/>
              <w:jc w:val="center"/>
              <w:rPr>
                <w:rFonts w:hint="eastAsia" w:ascii="仿宋" w:hAnsi="仿宋" w:eastAsia="仿宋" w:cs="仿宋"/>
                <w:b w:val="0"/>
                <w:sz w:val="28"/>
                <w:szCs w:val="28"/>
                <w:highlight w:val="none"/>
              </w:rPr>
            </w:pPr>
            <w:bookmarkStart w:id="178" w:name="_Toc18511"/>
            <w:r>
              <w:rPr>
                <w:rFonts w:hint="eastAsia" w:ascii="仿宋" w:hAnsi="仿宋" w:eastAsia="仿宋" w:cs="仿宋"/>
                <w:b w:val="0"/>
                <w:sz w:val="28"/>
                <w:szCs w:val="28"/>
                <w:highlight w:val="none"/>
              </w:rPr>
              <w:t>16</w:t>
            </w:r>
            <w:bookmarkEnd w:id="178"/>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D808">
            <w:pPr>
              <w:pStyle w:val="7"/>
              <w:spacing w:line="240" w:lineRule="auto"/>
              <w:jc w:val="center"/>
              <w:rPr>
                <w:rFonts w:hint="eastAsia" w:ascii="仿宋" w:hAnsi="仿宋" w:eastAsia="仿宋" w:cs="仿宋"/>
                <w:b w:val="0"/>
                <w:sz w:val="28"/>
                <w:szCs w:val="28"/>
                <w:highlight w:val="none"/>
              </w:rPr>
            </w:pPr>
            <w:bookmarkStart w:id="179" w:name="_Toc23968"/>
            <w:r>
              <w:rPr>
                <w:rFonts w:hint="eastAsia" w:ascii="仿宋" w:hAnsi="仿宋" w:eastAsia="仿宋" w:cs="仿宋"/>
                <w:b w:val="0"/>
                <w:sz w:val="28"/>
                <w:szCs w:val="28"/>
                <w:highlight w:val="none"/>
              </w:rPr>
              <w:t>磋商有效期</w:t>
            </w:r>
            <w:bookmarkEnd w:id="179"/>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C6EA">
            <w:pPr>
              <w:pStyle w:val="7"/>
              <w:spacing w:line="240" w:lineRule="auto"/>
              <w:ind w:firstLine="560" w:firstLineChars="200"/>
              <w:jc w:val="both"/>
              <w:rPr>
                <w:rFonts w:hint="eastAsia" w:ascii="仿宋" w:hAnsi="仿宋" w:eastAsia="仿宋" w:cs="仿宋"/>
                <w:b w:val="0"/>
                <w:sz w:val="28"/>
                <w:szCs w:val="28"/>
                <w:highlight w:val="none"/>
              </w:rPr>
            </w:pPr>
            <w:bookmarkStart w:id="180" w:name="_Toc143448958"/>
            <w:bookmarkStart w:id="181" w:name="_Toc144968991"/>
            <w:bookmarkStart w:id="182" w:name="_Toc11360"/>
            <w:bookmarkStart w:id="183" w:name="_Toc143449680"/>
            <w:r>
              <w:rPr>
                <w:rFonts w:hint="eastAsia" w:ascii="仿宋" w:hAnsi="仿宋" w:eastAsia="仿宋" w:cs="仿宋"/>
                <w:b w:val="0"/>
                <w:sz w:val="28"/>
                <w:szCs w:val="28"/>
                <w:highlight w:val="none"/>
              </w:rPr>
              <w:t>从响应截止之日起</w:t>
            </w:r>
            <w:r>
              <w:rPr>
                <w:rFonts w:hint="eastAsia" w:ascii="仿宋" w:hAnsi="仿宋" w:eastAsia="仿宋" w:cs="仿宋"/>
                <w:b w:val="0"/>
                <w:sz w:val="28"/>
                <w:szCs w:val="28"/>
                <w:highlight w:val="none"/>
                <w:lang w:val="en-US" w:eastAsia="zh-CN"/>
              </w:rPr>
              <w:t>60</w:t>
            </w:r>
            <w:r>
              <w:rPr>
                <w:rFonts w:hint="eastAsia" w:ascii="仿宋" w:hAnsi="仿宋" w:eastAsia="仿宋" w:cs="仿宋"/>
                <w:b w:val="0"/>
                <w:sz w:val="28"/>
                <w:szCs w:val="28"/>
                <w:highlight w:val="none"/>
              </w:rPr>
              <w:t>日</w:t>
            </w:r>
            <w:bookmarkEnd w:id="180"/>
            <w:bookmarkEnd w:id="181"/>
            <w:bookmarkEnd w:id="182"/>
            <w:bookmarkEnd w:id="183"/>
          </w:p>
        </w:tc>
      </w:tr>
      <w:tr w14:paraId="4D1FEA4B">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A908">
            <w:pPr>
              <w:pStyle w:val="7"/>
              <w:spacing w:line="240" w:lineRule="auto"/>
              <w:jc w:val="center"/>
              <w:rPr>
                <w:rFonts w:hint="eastAsia" w:ascii="仿宋" w:hAnsi="仿宋" w:eastAsia="仿宋" w:cs="仿宋"/>
                <w:b w:val="0"/>
                <w:sz w:val="28"/>
                <w:szCs w:val="28"/>
                <w:highlight w:val="none"/>
              </w:rPr>
            </w:pPr>
            <w:bookmarkStart w:id="184" w:name="_Toc22204"/>
            <w:r>
              <w:rPr>
                <w:rFonts w:hint="eastAsia" w:ascii="仿宋" w:hAnsi="仿宋" w:eastAsia="仿宋" w:cs="仿宋"/>
                <w:b w:val="0"/>
                <w:sz w:val="28"/>
                <w:szCs w:val="28"/>
                <w:highlight w:val="none"/>
              </w:rPr>
              <w:t>17</w:t>
            </w:r>
            <w:bookmarkEnd w:id="184"/>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FB21">
            <w:pPr>
              <w:pStyle w:val="7"/>
              <w:spacing w:line="240" w:lineRule="auto"/>
              <w:jc w:val="center"/>
              <w:rPr>
                <w:rFonts w:hint="eastAsia" w:ascii="仿宋" w:hAnsi="仿宋" w:eastAsia="仿宋" w:cs="仿宋"/>
                <w:b w:val="0"/>
                <w:sz w:val="28"/>
                <w:szCs w:val="28"/>
                <w:highlight w:val="none"/>
              </w:rPr>
            </w:pPr>
            <w:bookmarkStart w:id="185" w:name="_Toc3007"/>
            <w:r>
              <w:rPr>
                <w:rFonts w:hint="eastAsia" w:ascii="仿宋" w:hAnsi="仿宋" w:eastAsia="仿宋" w:cs="仿宋"/>
                <w:b w:val="0"/>
                <w:sz w:val="28"/>
                <w:szCs w:val="28"/>
                <w:highlight w:val="none"/>
              </w:rPr>
              <w:t>磋商保证金</w:t>
            </w:r>
            <w:bookmarkEnd w:id="185"/>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7D9">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本项目</w:t>
            </w:r>
            <w:r>
              <w:rPr>
                <w:rFonts w:hint="eastAsia" w:ascii="仿宋" w:hAnsi="仿宋" w:eastAsia="仿宋" w:cs="仿宋"/>
                <w:sz w:val="28"/>
                <w:szCs w:val="28"/>
                <w:highlight w:val="none"/>
                <w:shd w:val="clear" w:color="auto" w:fill="FFFFFF"/>
              </w:rPr>
              <w:t>免收磋商保证金</w:t>
            </w:r>
          </w:p>
        </w:tc>
      </w:tr>
      <w:tr w14:paraId="7C77380F">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E629">
            <w:pPr>
              <w:pStyle w:val="7"/>
              <w:spacing w:line="240" w:lineRule="auto"/>
              <w:jc w:val="center"/>
              <w:rPr>
                <w:rFonts w:hint="eastAsia" w:ascii="仿宋" w:hAnsi="仿宋" w:eastAsia="仿宋" w:cs="仿宋"/>
                <w:b w:val="0"/>
                <w:sz w:val="28"/>
                <w:szCs w:val="28"/>
                <w:highlight w:val="none"/>
              </w:rPr>
            </w:pPr>
            <w:bookmarkStart w:id="186" w:name="_Toc10399"/>
            <w:r>
              <w:rPr>
                <w:rFonts w:hint="eastAsia" w:ascii="仿宋" w:hAnsi="仿宋" w:eastAsia="仿宋" w:cs="仿宋"/>
                <w:b w:val="0"/>
                <w:sz w:val="28"/>
                <w:szCs w:val="28"/>
                <w:highlight w:val="none"/>
              </w:rPr>
              <w:t>18</w:t>
            </w:r>
            <w:bookmarkEnd w:id="186"/>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9C5C">
            <w:pPr>
              <w:pStyle w:val="7"/>
              <w:spacing w:line="240" w:lineRule="auto"/>
              <w:jc w:val="center"/>
              <w:rPr>
                <w:rFonts w:hint="eastAsia" w:ascii="仿宋" w:hAnsi="仿宋" w:eastAsia="仿宋" w:cs="仿宋"/>
                <w:b w:val="0"/>
                <w:sz w:val="28"/>
                <w:szCs w:val="28"/>
                <w:highlight w:val="none"/>
              </w:rPr>
            </w:pPr>
            <w:bookmarkStart w:id="187" w:name="_Toc1456"/>
            <w:bookmarkEnd w:id="187"/>
            <w:bookmarkStart w:id="188" w:name="_Toc21944"/>
            <w:bookmarkStart w:id="189" w:name="_Toc3755"/>
            <w:bookmarkStart w:id="190" w:name="_Toc15570"/>
            <w:r>
              <w:rPr>
                <w:rFonts w:hint="eastAsia" w:ascii="仿宋" w:hAnsi="仿宋" w:eastAsia="仿宋" w:cs="仿宋"/>
                <w:b w:val="0"/>
                <w:sz w:val="28"/>
                <w:szCs w:val="28"/>
                <w:highlight w:val="none"/>
              </w:rPr>
              <w:t>供应商提出问题的截止时间</w:t>
            </w:r>
            <w:bookmarkEnd w:id="188"/>
            <w:bookmarkEnd w:id="189"/>
            <w:bookmarkEnd w:id="190"/>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E2F9">
            <w:pPr>
              <w:pStyle w:val="7"/>
              <w:spacing w:line="240" w:lineRule="auto"/>
              <w:ind w:firstLine="560" w:firstLineChars="200"/>
              <w:jc w:val="both"/>
              <w:rPr>
                <w:rFonts w:hint="eastAsia" w:ascii="仿宋" w:hAnsi="仿宋" w:eastAsia="仿宋" w:cs="仿宋"/>
                <w:b w:val="0"/>
                <w:sz w:val="28"/>
                <w:szCs w:val="28"/>
                <w:highlight w:val="none"/>
              </w:rPr>
            </w:pPr>
            <w:bookmarkStart w:id="191" w:name="_Toc14149"/>
            <w:bookmarkStart w:id="192" w:name="_Toc23789"/>
            <w:bookmarkStart w:id="193" w:name="_Toc944"/>
            <w:r>
              <w:rPr>
                <w:rFonts w:hint="eastAsia" w:ascii="仿宋" w:hAnsi="仿宋" w:eastAsia="仿宋" w:cs="仿宋"/>
                <w:b w:val="0"/>
                <w:sz w:val="28"/>
                <w:szCs w:val="28"/>
                <w:highlight w:val="none"/>
              </w:rPr>
              <w:t>响应截止时间前5日</w:t>
            </w:r>
            <w:bookmarkEnd w:id="191"/>
            <w:bookmarkEnd w:id="192"/>
            <w:bookmarkEnd w:id="193"/>
          </w:p>
        </w:tc>
      </w:tr>
      <w:tr w14:paraId="3F8F4908">
        <w:tblPrEx>
          <w:tblCellMar>
            <w:top w:w="0" w:type="dxa"/>
            <w:left w:w="0" w:type="dxa"/>
            <w:bottom w:w="0" w:type="dxa"/>
            <w:right w:w="0" w:type="dxa"/>
          </w:tblCellMar>
        </w:tblPrEx>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6A6254DB">
            <w:pPr>
              <w:pStyle w:val="7"/>
              <w:spacing w:line="240" w:lineRule="auto"/>
              <w:jc w:val="center"/>
              <w:rPr>
                <w:rFonts w:hint="eastAsia" w:ascii="仿宋" w:hAnsi="仿宋" w:eastAsia="仿宋" w:cs="仿宋"/>
                <w:b w:val="0"/>
                <w:sz w:val="28"/>
                <w:szCs w:val="28"/>
                <w:highlight w:val="none"/>
              </w:rPr>
            </w:pPr>
            <w:bookmarkStart w:id="194" w:name="_Toc3776"/>
            <w:r>
              <w:rPr>
                <w:rFonts w:hint="eastAsia" w:ascii="仿宋" w:hAnsi="仿宋" w:eastAsia="仿宋" w:cs="仿宋"/>
                <w:b w:val="0"/>
                <w:sz w:val="28"/>
                <w:szCs w:val="28"/>
                <w:highlight w:val="none"/>
              </w:rPr>
              <w:t>19</w:t>
            </w:r>
            <w:bookmarkEnd w:id="194"/>
          </w:p>
        </w:tc>
        <w:tc>
          <w:tcPr>
            <w:tcW w:w="2023" w:type="dxa"/>
            <w:tcBorders>
              <w:top w:val="single" w:color="000000" w:sz="4" w:space="0"/>
              <w:left w:val="single" w:color="000000" w:sz="4" w:space="0"/>
              <w:bottom w:val="single" w:color="auto" w:sz="4" w:space="0"/>
              <w:right w:val="single" w:color="000000" w:sz="4" w:space="0"/>
            </w:tcBorders>
            <w:shd w:val="clear" w:color="auto" w:fill="auto"/>
            <w:vAlign w:val="center"/>
          </w:tcPr>
          <w:p w14:paraId="1BC59FD7">
            <w:pPr>
              <w:pStyle w:val="7"/>
              <w:spacing w:line="240" w:lineRule="auto"/>
              <w:jc w:val="center"/>
              <w:rPr>
                <w:rFonts w:hint="eastAsia" w:ascii="仿宋" w:hAnsi="仿宋" w:eastAsia="仿宋" w:cs="仿宋"/>
                <w:b w:val="0"/>
                <w:kern w:val="2"/>
                <w:sz w:val="28"/>
                <w:szCs w:val="28"/>
                <w:highlight w:val="none"/>
              </w:rPr>
            </w:pPr>
            <w:bookmarkStart w:id="195" w:name="_Toc27540"/>
            <w:bookmarkEnd w:id="195"/>
            <w:bookmarkStart w:id="196" w:name="_Toc2597"/>
            <w:bookmarkStart w:id="197" w:name="_Toc21657"/>
            <w:bookmarkStart w:id="198" w:name="_Toc18456"/>
            <w:r>
              <w:rPr>
                <w:rFonts w:hint="eastAsia" w:ascii="仿宋" w:hAnsi="仿宋" w:eastAsia="仿宋" w:cs="仿宋"/>
                <w:b w:val="0"/>
                <w:kern w:val="2"/>
                <w:sz w:val="28"/>
                <w:szCs w:val="28"/>
                <w:highlight w:val="none"/>
              </w:rPr>
              <w:t>供应商提出问题的方式</w:t>
            </w:r>
            <w:bookmarkEnd w:id="196"/>
            <w:bookmarkEnd w:id="197"/>
            <w:bookmarkEnd w:id="198"/>
          </w:p>
        </w:tc>
        <w:tc>
          <w:tcPr>
            <w:tcW w:w="7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241AC2C7">
            <w:pPr>
              <w:pStyle w:val="7"/>
              <w:spacing w:line="240" w:lineRule="auto"/>
              <w:ind w:firstLine="560" w:firstLineChars="200"/>
              <w:jc w:val="both"/>
              <w:rPr>
                <w:rFonts w:hint="eastAsia" w:ascii="仿宋" w:hAnsi="仿宋" w:eastAsia="仿宋" w:cs="仿宋"/>
                <w:b w:val="0"/>
                <w:kern w:val="2"/>
                <w:sz w:val="28"/>
                <w:szCs w:val="28"/>
                <w:highlight w:val="none"/>
              </w:rPr>
            </w:pPr>
            <w:bookmarkStart w:id="199" w:name="_Toc25191"/>
            <w:bookmarkEnd w:id="199"/>
            <w:bookmarkStart w:id="200" w:name="_Toc15928"/>
            <w:bookmarkStart w:id="201" w:name="_Toc15920"/>
            <w:bookmarkStart w:id="202" w:name="_Toc28615"/>
            <w:r>
              <w:rPr>
                <w:rFonts w:hint="eastAsia" w:ascii="仿宋" w:hAnsi="仿宋" w:eastAsia="仿宋" w:cs="仿宋"/>
                <w:b w:val="0"/>
                <w:sz w:val="28"/>
                <w:szCs w:val="28"/>
                <w:highlight w:val="none"/>
              </w:rPr>
              <w:t>投标供应商若对采购文件有任何疑问，应在投标截止时间前5日及时向</w:t>
            </w:r>
            <w:r>
              <w:rPr>
                <w:rFonts w:hint="eastAsia" w:ascii="仿宋" w:hAnsi="仿宋" w:eastAsia="仿宋" w:cs="仿宋"/>
                <w:b w:val="0"/>
                <w:sz w:val="28"/>
                <w:szCs w:val="28"/>
                <w:highlight w:val="none"/>
                <w:lang w:val="en-US" w:eastAsia="zh-CN"/>
              </w:rPr>
              <w:t>采购</w:t>
            </w:r>
            <w:r>
              <w:rPr>
                <w:rFonts w:hint="eastAsia" w:ascii="仿宋" w:hAnsi="仿宋" w:eastAsia="仿宋" w:cs="仿宋"/>
                <w:b w:val="0"/>
                <w:sz w:val="28"/>
                <w:szCs w:val="28"/>
                <w:highlight w:val="none"/>
              </w:rPr>
              <w:t>人提出书面澄清要求。代理机构以书面形式予以答复</w:t>
            </w:r>
            <w:bookmarkEnd w:id="200"/>
            <w:bookmarkEnd w:id="201"/>
            <w:r>
              <w:rPr>
                <w:rFonts w:hint="eastAsia" w:ascii="仿宋" w:hAnsi="仿宋" w:eastAsia="仿宋" w:cs="仿宋"/>
                <w:b w:val="0"/>
                <w:sz w:val="28"/>
                <w:szCs w:val="28"/>
                <w:highlight w:val="none"/>
              </w:rPr>
              <w:t>，投标供应商有义务自行查阅。</w:t>
            </w:r>
            <w:bookmarkEnd w:id="202"/>
          </w:p>
        </w:tc>
      </w:tr>
      <w:tr w14:paraId="22E43C18">
        <w:tblPrEx>
          <w:tblCellMar>
            <w:top w:w="0" w:type="dxa"/>
            <w:left w:w="0" w:type="dxa"/>
            <w:bottom w:w="0" w:type="dxa"/>
            <w:right w:w="0" w:type="dxa"/>
          </w:tblCellMar>
        </w:tblPrEx>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61713D15">
            <w:pPr>
              <w:pStyle w:val="7"/>
              <w:spacing w:line="240" w:lineRule="auto"/>
              <w:jc w:val="center"/>
              <w:rPr>
                <w:rFonts w:hint="eastAsia" w:ascii="仿宋" w:hAnsi="仿宋" w:eastAsia="仿宋" w:cs="仿宋"/>
                <w:b w:val="0"/>
                <w:sz w:val="28"/>
                <w:szCs w:val="28"/>
                <w:highlight w:val="none"/>
              </w:rPr>
            </w:pPr>
            <w:bookmarkStart w:id="203" w:name="_Toc22561"/>
            <w:r>
              <w:rPr>
                <w:rFonts w:hint="eastAsia" w:ascii="仿宋" w:hAnsi="仿宋" w:eastAsia="仿宋" w:cs="仿宋"/>
                <w:b w:val="0"/>
                <w:sz w:val="28"/>
                <w:szCs w:val="28"/>
                <w:highlight w:val="none"/>
              </w:rPr>
              <w:t>20</w:t>
            </w:r>
            <w:bookmarkEnd w:id="203"/>
          </w:p>
        </w:tc>
        <w:tc>
          <w:tcPr>
            <w:tcW w:w="2023" w:type="dxa"/>
            <w:tcBorders>
              <w:top w:val="single" w:color="000000" w:sz="4" w:space="0"/>
              <w:left w:val="single" w:color="000000" w:sz="4" w:space="0"/>
              <w:bottom w:val="single" w:color="auto" w:sz="4" w:space="0"/>
              <w:right w:val="single" w:color="000000" w:sz="4" w:space="0"/>
            </w:tcBorders>
            <w:shd w:val="clear" w:color="auto" w:fill="auto"/>
            <w:vAlign w:val="center"/>
          </w:tcPr>
          <w:p w14:paraId="68110188">
            <w:pPr>
              <w:pStyle w:val="7"/>
              <w:spacing w:line="240" w:lineRule="auto"/>
              <w:jc w:val="center"/>
              <w:rPr>
                <w:rFonts w:hint="eastAsia" w:ascii="仿宋" w:hAnsi="仿宋" w:eastAsia="仿宋" w:cs="仿宋"/>
                <w:b w:val="0"/>
                <w:sz w:val="28"/>
                <w:szCs w:val="28"/>
                <w:highlight w:val="none"/>
              </w:rPr>
            </w:pPr>
            <w:bookmarkStart w:id="204" w:name="_Toc12613"/>
            <w:bookmarkStart w:id="205" w:name="_Toc29945"/>
            <w:bookmarkStart w:id="206" w:name="_Toc26828"/>
            <w:r>
              <w:rPr>
                <w:rFonts w:hint="eastAsia" w:ascii="仿宋" w:hAnsi="仿宋" w:eastAsia="仿宋" w:cs="仿宋"/>
                <w:b w:val="0"/>
                <w:sz w:val="28"/>
                <w:szCs w:val="28"/>
                <w:highlight w:val="none"/>
              </w:rPr>
              <w:t>资格审查方式</w:t>
            </w:r>
            <w:bookmarkEnd w:id="204"/>
            <w:bookmarkEnd w:id="205"/>
            <w:bookmarkEnd w:id="206"/>
          </w:p>
        </w:tc>
        <w:tc>
          <w:tcPr>
            <w:tcW w:w="7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5C994E6A">
            <w:pPr>
              <w:pStyle w:val="7"/>
              <w:spacing w:line="240" w:lineRule="auto"/>
              <w:ind w:firstLine="560" w:firstLineChars="200"/>
              <w:jc w:val="both"/>
              <w:rPr>
                <w:rFonts w:hint="eastAsia" w:ascii="仿宋" w:hAnsi="仿宋" w:eastAsia="仿宋" w:cs="仿宋"/>
                <w:b w:val="0"/>
                <w:kern w:val="2"/>
                <w:sz w:val="28"/>
                <w:szCs w:val="28"/>
                <w:highlight w:val="none"/>
              </w:rPr>
            </w:pPr>
            <w:bookmarkStart w:id="207" w:name="_Toc5485"/>
            <w:bookmarkStart w:id="208" w:name="_Toc9418"/>
            <w:bookmarkStart w:id="209" w:name="_Toc24863"/>
            <w:r>
              <w:rPr>
                <w:rFonts w:hint="eastAsia" w:ascii="仿宋" w:hAnsi="仿宋" w:eastAsia="仿宋" w:cs="仿宋"/>
                <w:b w:val="0"/>
                <w:sz w:val="28"/>
                <w:szCs w:val="28"/>
                <w:highlight w:val="none"/>
              </w:rPr>
              <w:t>资格后审</w:t>
            </w:r>
            <w:bookmarkEnd w:id="207"/>
            <w:bookmarkEnd w:id="208"/>
            <w:bookmarkEnd w:id="209"/>
          </w:p>
        </w:tc>
      </w:tr>
      <w:tr w14:paraId="3AA6CC04">
        <w:tblPrEx>
          <w:tblCellMar>
            <w:top w:w="0" w:type="dxa"/>
            <w:left w:w="0" w:type="dxa"/>
            <w:bottom w:w="0" w:type="dxa"/>
            <w:right w:w="0" w:type="dxa"/>
          </w:tblCellMar>
        </w:tblPrEx>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0E8A8">
            <w:pPr>
              <w:pStyle w:val="7"/>
              <w:spacing w:line="240" w:lineRule="auto"/>
              <w:jc w:val="center"/>
              <w:rPr>
                <w:rFonts w:hint="eastAsia" w:ascii="仿宋" w:hAnsi="仿宋" w:eastAsia="仿宋" w:cs="仿宋"/>
                <w:b w:val="0"/>
                <w:sz w:val="28"/>
                <w:szCs w:val="28"/>
                <w:highlight w:val="none"/>
              </w:rPr>
            </w:pPr>
            <w:bookmarkStart w:id="210" w:name="_Toc26536"/>
            <w:r>
              <w:rPr>
                <w:rFonts w:hint="eastAsia" w:ascii="仿宋" w:hAnsi="仿宋" w:eastAsia="仿宋" w:cs="仿宋"/>
                <w:b w:val="0"/>
                <w:sz w:val="28"/>
                <w:szCs w:val="28"/>
                <w:highlight w:val="none"/>
              </w:rPr>
              <w:t>21</w:t>
            </w:r>
            <w:bookmarkEnd w:id="210"/>
          </w:p>
        </w:tc>
        <w:tc>
          <w:tcPr>
            <w:tcW w:w="2023" w:type="dxa"/>
            <w:tcBorders>
              <w:top w:val="single" w:color="000000" w:sz="4" w:space="0"/>
              <w:left w:val="single" w:color="000000" w:sz="4" w:space="0"/>
              <w:bottom w:val="single" w:color="auto" w:sz="4" w:space="0"/>
              <w:right w:val="single" w:color="000000" w:sz="4" w:space="0"/>
            </w:tcBorders>
            <w:shd w:val="clear" w:color="auto" w:fill="auto"/>
            <w:vAlign w:val="center"/>
          </w:tcPr>
          <w:p w14:paraId="5E00FEBD">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投诉质疑和形式</w:t>
            </w:r>
          </w:p>
        </w:tc>
        <w:tc>
          <w:tcPr>
            <w:tcW w:w="7132" w:type="dxa"/>
            <w:tcBorders>
              <w:top w:val="single" w:color="000000" w:sz="4" w:space="0"/>
              <w:left w:val="single" w:color="000000" w:sz="4" w:space="0"/>
              <w:bottom w:val="single" w:color="auto" w:sz="4" w:space="0"/>
              <w:right w:val="single" w:color="000000" w:sz="4" w:space="0"/>
            </w:tcBorders>
            <w:shd w:val="clear" w:color="auto" w:fill="auto"/>
          </w:tcPr>
          <w:p w14:paraId="386814F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响应供应商如对招投标事项有异议，应按国家相关法律规定以及淮南市公共资源交易监督管理局相关规定要求先向采购人或采购代理机构提出。 </w:t>
            </w:r>
          </w:p>
          <w:p w14:paraId="706F719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禁止虚假恶意投诉，对虚假恶意投诉的，视情节予以处罚。如无效投诉的给予记不良记录。</w:t>
            </w:r>
          </w:p>
        </w:tc>
      </w:tr>
      <w:tr w14:paraId="0E7604BB">
        <w:tblPrEx>
          <w:tblCellMar>
            <w:top w:w="0" w:type="dxa"/>
            <w:left w:w="0" w:type="dxa"/>
            <w:bottom w:w="0" w:type="dxa"/>
            <w:right w:w="0" w:type="dxa"/>
          </w:tblCellMar>
        </w:tblPrEx>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15808E3C">
            <w:pPr>
              <w:pStyle w:val="7"/>
              <w:spacing w:line="240" w:lineRule="auto"/>
              <w:jc w:val="center"/>
              <w:rPr>
                <w:rFonts w:hint="eastAsia" w:ascii="仿宋" w:hAnsi="仿宋" w:eastAsia="仿宋" w:cs="仿宋"/>
                <w:b w:val="0"/>
                <w:sz w:val="28"/>
                <w:szCs w:val="28"/>
                <w:highlight w:val="none"/>
              </w:rPr>
            </w:pPr>
            <w:bookmarkStart w:id="211" w:name="_Toc19601"/>
            <w:r>
              <w:rPr>
                <w:rFonts w:hint="eastAsia" w:ascii="仿宋" w:hAnsi="仿宋" w:eastAsia="仿宋" w:cs="仿宋"/>
                <w:b w:val="0"/>
                <w:sz w:val="28"/>
                <w:szCs w:val="28"/>
                <w:highlight w:val="none"/>
              </w:rPr>
              <w:t>22</w:t>
            </w:r>
            <w:bookmarkEnd w:id="211"/>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26148ED7">
            <w:pPr>
              <w:pStyle w:val="7"/>
              <w:spacing w:line="240" w:lineRule="auto"/>
              <w:jc w:val="center"/>
              <w:rPr>
                <w:rFonts w:hint="eastAsia" w:ascii="仿宋" w:hAnsi="仿宋" w:eastAsia="仿宋" w:cs="仿宋"/>
                <w:b w:val="0"/>
                <w:sz w:val="28"/>
                <w:szCs w:val="28"/>
                <w:highlight w:val="none"/>
              </w:rPr>
            </w:pPr>
            <w:bookmarkStart w:id="212" w:name="_Toc25746"/>
            <w:bookmarkEnd w:id="212"/>
            <w:bookmarkStart w:id="213" w:name="_Toc17401"/>
            <w:bookmarkStart w:id="214" w:name="_Toc26889"/>
            <w:bookmarkStart w:id="215" w:name="_Toc17004"/>
            <w:r>
              <w:rPr>
                <w:rFonts w:hint="eastAsia" w:ascii="仿宋" w:hAnsi="仿宋" w:eastAsia="仿宋" w:cs="仿宋"/>
                <w:b w:val="0"/>
                <w:sz w:val="28"/>
                <w:szCs w:val="28"/>
                <w:highlight w:val="none"/>
              </w:rPr>
              <w:t>疑问的答疑获取</w:t>
            </w:r>
            <w:bookmarkEnd w:id="213"/>
            <w:bookmarkEnd w:id="214"/>
            <w:bookmarkEnd w:id="215"/>
          </w:p>
        </w:tc>
        <w:tc>
          <w:tcPr>
            <w:tcW w:w="7132" w:type="dxa"/>
            <w:tcBorders>
              <w:top w:val="single" w:color="auto" w:sz="4" w:space="0"/>
              <w:left w:val="single" w:color="000000" w:sz="4" w:space="0"/>
              <w:bottom w:val="single" w:color="auto" w:sz="4" w:space="0"/>
              <w:right w:val="single" w:color="auto" w:sz="4" w:space="0"/>
            </w:tcBorders>
            <w:shd w:val="clear" w:color="auto" w:fill="auto"/>
            <w:vAlign w:val="center"/>
          </w:tcPr>
          <w:p w14:paraId="6609A57F">
            <w:pPr>
              <w:pStyle w:val="7"/>
              <w:spacing w:line="240" w:lineRule="auto"/>
              <w:jc w:val="both"/>
              <w:rPr>
                <w:rFonts w:hint="eastAsia" w:ascii="仿宋" w:hAnsi="仿宋" w:eastAsia="仿宋" w:cs="仿宋"/>
                <w:b w:val="0"/>
                <w:sz w:val="28"/>
                <w:szCs w:val="28"/>
                <w:highlight w:val="none"/>
              </w:rPr>
            </w:pPr>
            <w:bookmarkStart w:id="216" w:name="_Toc12358"/>
            <w:bookmarkEnd w:id="216"/>
            <w:bookmarkStart w:id="217" w:name="_Toc144969006"/>
            <w:bookmarkStart w:id="218" w:name="_Toc135"/>
            <w:r>
              <w:rPr>
                <w:rFonts w:hint="eastAsia" w:ascii="仿宋" w:hAnsi="仿宋" w:eastAsia="仿宋" w:cs="仿宋"/>
                <w:b w:val="0"/>
                <w:sz w:val="28"/>
                <w:szCs w:val="28"/>
                <w:highlight w:val="none"/>
              </w:rPr>
              <w:t>疑问的答疑获取均在</w:t>
            </w:r>
            <w:bookmarkEnd w:id="217"/>
            <w:bookmarkEnd w:id="218"/>
            <w:bookmarkStart w:id="219" w:name="_Toc144969007"/>
            <w:bookmarkStart w:id="220" w:name="_Toc25341"/>
            <w:r>
              <w:rPr>
                <w:rFonts w:hint="eastAsia" w:ascii="仿宋" w:hAnsi="仿宋" w:eastAsia="仿宋" w:cs="仿宋"/>
                <w:b w:val="0"/>
                <w:sz w:val="28"/>
                <w:szCs w:val="28"/>
                <w:highlight w:val="none"/>
                <w:lang w:val="en-US" w:eastAsia="zh-CN"/>
              </w:rPr>
              <w:t>淮南市总工会官网(https://hnszgh.ahghw.org.cn/index.html)网上发布</w:t>
            </w:r>
            <w:r>
              <w:rPr>
                <w:rFonts w:hint="eastAsia" w:ascii="仿宋" w:hAnsi="仿宋" w:eastAsia="仿宋" w:cs="仿宋"/>
                <w:b w:val="0"/>
                <w:sz w:val="28"/>
                <w:szCs w:val="28"/>
                <w:highlight w:val="none"/>
              </w:rPr>
              <w:t>。供应商请注意：采购代理机构对采购文件进行的澄清、更正或更改，将在网站上及时发布，该公告内容为采购文件的组成部分，对供应商具有同样约束效力。</w:t>
            </w:r>
            <w:bookmarkEnd w:id="219"/>
            <w:bookmarkEnd w:id="220"/>
          </w:p>
        </w:tc>
      </w:tr>
      <w:tr w14:paraId="0AE1EA68">
        <w:tblPrEx>
          <w:tblCellMar>
            <w:top w:w="0" w:type="dxa"/>
            <w:left w:w="0" w:type="dxa"/>
            <w:bottom w:w="0" w:type="dxa"/>
            <w:right w:w="0" w:type="dxa"/>
          </w:tblCellMar>
        </w:tblPrEx>
        <w:trPr>
          <w:trHeight w:val="557" w:hRule="atLeast"/>
        </w:trPr>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36071B99">
            <w:pPr>
              <w:pStyle w:val="7"/>
              <w:spacing w:line="240" w:lineRule="auto"/>
              <w:jc w:val="center"/>
              <w:rPr>
                <w:rFonts w:hint="eastAsia" w:ascii="仿宋" w:hAnsi="仿宋" w:eastAsia="仿宋" w:cs="仿宋"/>
                <w:b w:val="0"/>
                <w:sz w:val="28"/>
                <w:szCs w:val="28"/>
                <w:highlight w:val="none"/>
              </w:rPr>
            </w:pPr>
            <w:bookmarkStart w:id="221" w:name="_Toc12778"/>
            <w:r>
              <w:rPr>
                <w:rFonts w:hint="eastAsia" w:ascii="仿宋" w:hAnsi="仿宋" w:eastAsia="仿宋" w:cs="仿宋"/>
                <w:b w:val="0"/>
                <w:sz w:val="28"/>
                <w:szCs w:val="28"/>
                <w:highlight w:val="none"/>
              </w:rPr>
              <w:t>23</w:t>
            </w:r>
            <w:bookmarkEnd w:id="221"/>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3098EA7E">
            <w:pPr>
              <w:pStyle w:val="7"/>
              <w:spacing w:line="240" w:lineRule="auto"/>
              <w:jc w:val="center"/>
              <w:rPr>
                <w:rFonts w:hint="eastAsia" w:ascii="仿宋" w:hAnsi="仿宋" w:eastAsia="仿宋" w:cs="仿宋"/>
                <w:b w:val="0"/>
                <w:sz w:val="28"/>
                <w:szCs w:val="28"/>
                <w:highlight w:val="none"/>
              </w:rPr>
            </w:pPr>
            <w:bookmarkStart w:id="222" w:name="_Toc26147"/>
            <w:r>
              <w:rPr>
                <w:rFonts w:hint="eastAsia" w:ascii="仿宋" w:hAnsi="仿宋" w:eastAsia="仿宋" w:cs="仿宋"/>
                <w:b w:val="0"/>
                <w:sz w:val="28"/>
                <w:szCs w:val="28"/>
                <w:highlight w:val="none"/>
              </w:rPr>
              <w:t>工程量的核实</w:t>
            </w:r>
            <w:bookmarkEnd w:id="222"/>
          </w:p>
          <w:p w14:paraId="27DE03A2">
            <w:pPr>
              <w:pStyle w:val="7"/>
              <w:spacing w:line="240" w:lineRule="auto"/>
              <w:jc w:val="center"/>
              <w:rPr>
                <w:rFonts w:hint="eastAsia" w:ascii="仿宋" w:hAnsi="仿宋" w:eastAsia="仿宋" w:cs="仿宋"/>
                <w:b w:val="0"/>
                <w:sz w:val="28"/>
                <w:szCs w:val="28"/>
                <w:highlight w:val="none"/>
              </w:rPr>
            </w:pPr>
            <w:bookmarkStart w:id="223" w:name="_Toc6826"/>
            <w:r>
              <w:rPr>
                <w:rFonts w:hint="eastAsia" w:ascii="仿宋" w:hAnsi="仿宋" w:eastAsia="仿宋" w:cs="仿宋"/>
                <w:b w:val="0"/>
                <w:sz w:val="28"/>
                <w:szCs w:val="28"/>
                <w:highlight w:val="none"/>
              </w:rPr>
              <w:t>与调整</w:t>
            </w:r>
            <w:bookmarkEnd w:id="223"/>
          </w:p>
        </w:tc>
        <w:tc>
          <w:tcPr>
            <w:tcW w:w="7132" w:type="dxa"/>
            <w:tcBorders>
              <w:top w:val="single" w:color="auto" w:sz="4" w:space="0"/>
              <w:left w:val="single" w:color="000000" w:sz="4" w:space="0"/>
              <w:bottom w:val="single" w:color="auto" w:sz="4" w:space="0"/>
              <w:right w:val="single" w:color="auto" w:sz="4" w:space="0"/>
            </w:tcBorders>
            <w:shd w:val="clear" w:color="auto" w:fill="auto"/>
            <w:vAlign w:val="center"/>
          </w:tcPr>
          <w:p w14:paraId="5EF7379C">
            <w:pPr>
              <w:pStyle w:val="7"/>
              <w:spacing w:line="240" w:lineRule="auto"/>
              <w:ind w:firstLine="560" w:firstLineChars="200"/>
              <w:jc w:val="both"/>
              <w:rPr>
                <w:rFonts w:hint="eastAsia" w:ascii="仿宋" w:hAnsi="仿宋" w:eastAsia="仿宋" w:cs="仿宋"/>
                <w:b w:val="0"/>
                <w:sz w:val="28"/>
                <w:szCs w:val="28"/>
                <w:highlight w:val="none"/>
              </w:rPr>
            </w:pPr>
            <w:bookmarkStart w:id="224" w:name="_Toc143448976"/>
            <w:bookmarkStart w:id="225" w:name="_Toc143449698"/>
            <w:bookmarkStart w:id="226" w:name="_Toc11503"/>
            <w:r>
              <w:rPr>
                <w:rFonts w:hint="eastAsia" w:ascii="仿宋" w:hAnsi="仿宋" w:eastAsia="仿宋" w:cs="仿宋"/>
                <w:b w:val="0"/>
                <w:sz w:val="28"/>
                <w:szCs w:val="28"/>
                <w:highlight w:val="none"/>
              </w:rPr>
              <w:t>1、采购人发布的图纸清单及技术规范书，作为本次采购的基础依据。供应商应当在响应文件递交截止时间5日前提出全部疑问；否则视同认可本采购文件中所提供的工程量。经确定的清单中标后不再调整，供应商应按图纸、采购文件、清单等相关资料要求内容完成全部工程内容。</w:t>
            </w:r>
            <w:bookmarkEnd w:id="224"/>
            <w:bookmarkEnd w:id="225"/>
            <w:bookmarkEnd w:id="226"/>
          </w:p>
          <w:p w14:paraId="6675E5CF">
            <w:pPr>
              <w:pStyle w:val="7"/>
              <w:spacing w:line="240" w:lineRule="auto"/>
              <w:ind w:firstLine="560" w:firstLineChars="200"/>
              <w:jc w:val="both"/>
              <w:rPr>
                <w:rFonts w:hint="eastAsia" w:ascii="仿宋" w:hAnsi="仿宋" w:eastAsia="仿宋" w:cs="仿宋"/>
                <w:b w:val="0"/>
                <w:sz w:val="28"/>
                <w:szCs w:val="28"/>
                <w:highlight w:val="none"/>
              </w:rPr>
            </w:pPr>
            <w:bookmarkStart w:id="227" w:name="_Toc143449699"/>
            <w:bookmarkStart w:id="228" w:name="_Toc15427"/>
            <w:bookmarkStart w:id="229" w:name="_Toc143448977"/>
            <w:r>
              <w:rPr>
                <w:rFonts w:hint="eastAsia" w:ascii="仿宋" w:hAnsi="仿宋" w:eastAsia="仿宋" w:cs="仿宋"/>
                <w:b w:val="0"/>
                <w:sz w:val="28"/>
                <w:szCs w:val="28"/>
                <w:highlight w:val="none"/>
              </w:rPr>
              <w:t>2、当清单数量与实际工程量产生偏差，误差在-5%～5%之内（包括±5%），不予调整；超出-5%～5%以外的，采购人将组织复核，若情况属实将按实对采购清单进行调整，并在网上发布，否则不予调整。</w:t>
            </w:r>
            <w:bookmarkEnd w:id="227"/>
            <w:bookmarkEnd w:id="228"/>
            <w:bookmarkEnd w:id="229"/>
          </w:p>
          <w:p w14:paraId="464A82B6">
            <w:pPr>
              <w:pStyle w:val="7"/>
              <w:spacing w:line="240" w:lineRule="auto"/>
              <w:ind w:firstLine="560" w:firstLineChars="200"/>
              <w:rPr>
                <w:rFonts w:hint="eastAsia" w:ascii="仿宋" w:hAnsi="仿宋" w:eastAsia="仿宋" w:cs="仿宋"/>
                <w:b w:val="0"/>
                <w:sz w:val="28"/>
                <w:szCs w:val="28"/>
                <w:highlight w:val="none"/>
              </w:rPr>
            </w:pPr>
            <w:bookmarkStart w:id="230" w:name="_Toc143448978"/>
            <w:bookmarkStart w:id="231" w:name="_Toc143449700"/>
            <w:bookmarkStart w:id="232" w:name="_Toc31437"/>
            <w:r>
              <w:rPr>
                <w:rFonts w:hint="eastAsia" w:ascii="仿宋" w:hAnsi="仿宋" w:eastAsia="仿宋" w:cs="仿宋"/>
                <w:b w:val="0"/>
                <w:sz w:val="28"/>
                <w:szCs w:val="28"/>
                <w:highlight w:val="none"/>
              </w:rPr>
              <w:t>3、在标前核量之后，如有少算、漏项或错项等，视为潜在供应商的自行优惠让利，对清单中的所有内容中标后不予调整（除因设计变更、工程变更或合同约定的其他调整因素外）。</w:t>
            </w:r>
            <w:bookmarkEnd w:id="230"/>
            <w:bookmarkEnd w:id="231"/>
            <w:bookmarkEnd w:id="232"/>
          </w:p>
        </w:tc>
      </w:tr>
      <w:tr w14:paraId="0A5068CC">
        <w:tblPrEx>
          <w:tblCellMar>
            <w:top w:w="0" w:type="dxa"/>
            <w:left w:w="0" w:type="dxa"/>
            <w:bottom w:w="0" w:type="dxa"/>
            <w:right w:w="0" w:type="dxa"/>
          </w:tblCellMar>
        </w:tblPrEx>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785B1DC3">
            <w:pPr>
              <w:pStyle w:val="7"/>
              <w:spacing w:line="240" w:lineRule="auto"/>
              <w:jc w:val="center"/>
              <w:rPr>
                <w:rFonts w:hint="eastAsia" w:ascii="仿宋" w:hAnsi="仿宋" w:eastAsia="仿宋" w:cs="仿宋"/>
                <w:b w:val="0"/>
                <w:sz w:val="28"/>
                <w:szCs w:val="28"/>
                <w:highlight w:val="none"/>
              </w:rPr>
            </w:pPr>
            <w:bookmarkStart w:id="233" w:name="_Toc31947"/>
            <w:r>
              <w:rPr>
                <w:rFonts w:hint="eastAsia" w:ascii="仿宋" w:hAnsi="仿宋" w:eastAsia="仿宋" w:cs="仿宋"/>
                <w:b w:val="0"/>
                <w:sz w:val="28"/>
                <w:szCs w:val="28"/>
                <w:highlight w:val="none"/>
              </w:rPr>
              <w:t>24</w:t>
            </w:r>
            <w:bookmarkEnd w:id="233"/>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1ACCFC1A">
            <w:pPr>
              <w:pStyle w:val="7"/>
              <w:spacing w:line="240" w:lineRule="auto"/>
              <w:jc w:val="center"/>
              <w:rPr>
                <w:rFonts w:hint="eastAsia" w:ascii="仿宋" w:hAnsi="仿宋" w:eastAsia="仿宋" w:cs="仿宋"/>
                <w:b w:val="0"/>
                <w:sz w:val="28"/>
                <w:szCs w:val="28"/>
                <w:highlight w:val="none"/>
              </w:rPr>
            </w:pPr>
            <w:bookmarkStart w:id="234" w:name="_Toc29808"/>
            <w:bookmarkStart w:id="235" w:name="_Toc14346"/>
            <w:bookmarkStart w:id="236" w:name="_Toc31713"/>
            <w:r>
              <w:rPr>
                <w:rFonts w:hint="eastAsia" w:ascii="仿宋" w:hAnsi="仿宋" w:eastAsia="仿宋" w:cs="仿宋"/>
                <w:b w:val="0"/>
                <w:sz w:val="28"/>
                <w:szCs w:val="28"/>
                <w:highlight w:val="none"/>
              </w:rPr>
              <w:t>构成磋商文件的</w:t>
            </w:r>
            <w:bookmarkEnd w:id="234"/>
          </w:p>
          <w:p w14:paraId="3DCECF70">
            <w:pPr>
              <w:pStyle w:val="7"/>
              <w:spacing w:line="240" w:lineRule="auto"/>
              <w:jc w:val="center"/>
              <w:rPr>
                <w:rFonts w:hint="eastAsia" w:ascii="仿宋" w:hAnsi="仿宋" w:eastAsia="仿宋" w:cs="仿宋"/>
                <w:b w:val="0"/>
                <w:sz w:val="28"/>
                <w:szCs w:val="28"/>
                <w:highlight w:val="none"/>
              </w:rPr>
            </w:pPr>
            <w:bookmarkStart w:id="237" w:name="_Toc12627"/>
            <w:r>
              <w:rPr>
                <w:rFonts w:hint="eastAsia" w:ascii="仿宋" w:hAnsi="仿宋" w:eastAsia="仿宋" w:cs="仿宋"/>
                <w:b w:val="0"/>
                <w:sz w:val="28"/>
                <w:szCs w:val="28"/>
                <w:highlight w:val="none"/>
              </w:rPr>
              <w:t>其他内容材料</w:t>
            </w:r>
            <w:bookmarkEnd w:id="235"/>
            <w:bookmarkEnd w:id="236"/>
            <w:bookmarkEnd w:id="237"/>
          </w:p>
        </w:tc>
        <w:tc>
          <w:tcPr>
            <w:tcW w:w="7132" w:type="dxa"/>
            <w:tcBorders>
              <w:top w:val="single" w:color="auto" w:sz="4" w:space="0"/>
              <w:left w:val="single" w:color="000000" w:sz="4" w:space="0"/>
              <w:bottom w:val="single" w:color="auto" w:sz="4" w:space="0"/>
              <w:right w:val="single" w:color="auto" w:sz="4" w:space="0"/>
            </w:tcBorders>
            <w:shd w:val="clear" w:color="auto" w:fill="auto"/>
            <w:vAlign w:val="center"/>
          </w:tcPr>
          <w:p w14:paraId="6068BA69">
            <w:pPr>
              <w:pStyle w:val="7"/>
              <w:spacing w:line="240" w:lineRule="auto"/>
              <w:ind w:firstLine="560" w:firstLineChars="200"/>
              <w:jc w:val="both"/>
              <w:rPr>
                <w:rFonts w:hint="eastAsia" w:ascii="仿宋" w:hAnsi="仿宋" w:eastAsia="仿宋" w:cs="仿宋"/>
                <w:b w:val="0"/>
                <w:sz w:val="28"/>
                <w:szCs w:val="28"/>
                <w:highlight w:val="none"/>
              </w:rPr>
            </w:pPr>
            <w:bookmarkStart w:id="238" w:name="_Toc5484"/>
            <w:bookmarkStart w:id="239" w:name="_Toc1204"/>
            <w:bookmarkStart w:id="240" w:name="_Toc31013"/>
            <w:r>
              <w:rPr>
                <w:rFonts w:hint="eastAsia" w:ascii="仿宋" w:hAnsi="仿宋" w:eastAsia="仿宋" w:cs="仿宋"/>
                <w:b w:val="0"/>
                <w:sz w:val="28"/>
                <w:szCs w:val="28"/>
                <w:highlight w:val="none"/>
              </w:rPr>
              <w:t>采购需求、澄清文件、答疑文件</w:t>
            </w:r>
            <w:bookmarkEnd w:id="238"/>
            <w:bookmarkEnd w:id="239"/>
            <w:bookmarkEnd w:id="240"/>
          </w:p>
        </w:tc>
      </w:tr>
      <w:tr w14:paraId="044CE2F5">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D41A">
            <w:pPr>
              <w:pStyle w:val="7"/>
              <w:spacing w:line="240" w:lineRule="auto"/>
              <w:jc w:val="center"/>
              <w:rPr>
                <w:rFonts w:hint="eastAsia" w:ascii="仿宋" w:hAnsi="仿宋" w:eastAsia="仿宋" w:cs="仿宋"/>
                <w:b w:val="0"/>
                <w:sz w:val="28"/>
                <w:szCs w:val="28"/>
                <w:highlight w:val="none"/>
              </w:rPr>
            </w:pPr>
            <w:bookmarkStart w:id="241" w:name="_Toc10350"/>
            <w:r>
              <w:rPr>
                <w:rFonts w:hint="eastAsia" w:ascii="仿宋" w:hAnsi="仿宋" w:eastAsia="仿宋" w:cs="仿宋"/>
                <w:b w:val="0"/>
                <w:sz w:val="28"/>
                <w:szCs w:val="28"/>
                <w:highlight w:val="none"/>
              </w:rPr>
              <w:t>25</w:t>
            </w:r>
            <w:bookmarkEnd w:id="241"/>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1FD1">
            <w:pPr>
              <w:pStyle w:val="7"/>
              <w:spacing w:line="240" w:lineRule="auto"/>
              <w:jc w:val="center"/>
              <w:rPr>
                <w:rFonts w:hint="eastAsia" w:ascii="仿宋" w:hAnsi="仿宋" w:eastAsia="仿宋" w:cs="仿宋"/>
                <w:b w:val="0"/>
                <w:sz w:val="28"/>
                <w:szCs w:val="28"/>
                <w:highlight w:val="none"/>
              </w:rPr>
            </w:pPr>
            <w:bookmarkStart w:id="242" w:name="_Toc29568"/>
            <w:bookmarkEnd w:id="242"/>
            <w:bookmarkStart w:id="243" w:name="_Toc31907"/>
            <w:bookmarkEnd w:id="243"/>
            <w:bookmarkStart w:id="244" w:name="_Toc28517"/>
            <w:bookmarkEnd w:id="244"/>
            <w:bookmarkStart w:id="245" w:name="_Toc1503"/>
            <w:bookmarkEnd w:id="245"/>
            <w:bookmarkStart w:id="246" w:name="_Toc16323"/>
            <w:bookmarkStart w:id="247" w:name="_Toc6820"/>
            <w:bookmarkStart w:id="248" w:name="_Toc4241"/>
            <w:r>
              <w:rPr>
                <w:rFonts w:hint="eastAsia" w:ascii="仿宋" w:hAnsi="仿宋" w:eastAsia="仿宋" w:cs="仿宋"/>
                <w:b w:val="0"/>
                <w:sz w:val="28"/>
                <w:szCs w:val="28"/>
                <w:highlight w:val="none"/>
              </w:rPr>
              <w:t>是否允许递交备选投标方案</w:t>
            </w:r>
            <w:bookmarkEnd w:id="246"/>
            <w:bookmarkEnd w:id="247"/>
            <w:bookmarkEnd w:id="248"/>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191C">
            <w:pPr>
              <w:pStyle w:val="7"/>
              <w:spacing w:line="240" w:lineRule="auto"/>
              <w:ind w:firstLine="560" w:firstLineChars="200"/>
              <w:jc w:val="both"/>
              <w:rPr>
                <w:rFonts w:hint="eastAsia" w:ascii="仿宋" w:hAnsi="仿宋" w:eastAsia="仿宋" w:cs="仿宋"/>
                <w:b w:val="0"/>
                <w:sz w:val="28"/>
                <w:szCs w:val="28"/>
                <w:highlight w:val="none"/>
              </w:rPr>
            </w:pPr>
            <w:bookmarkStart w:id="249" w:name="_Toc15139"/>
            <w:bookmarkEnd w:id="249"/>
            <w:bookmarkStart w:id="250" w:name="_Toc23771"/>
            <w:bookmarkEnd w:id="250"/>
            <w:bookmarkStart w:id="251" w:name="_Toc9052"/>
            <w:bookmarkEnd w:id="251"/>
            <w:bookmarkStart w:id="252" w:name="_Toc12233"/>
            <w:bookmarkEnd w:id="252"/>
            <w:bookmarkStart w:id="253" w:name="_Toc7649"/>
            <w:bookmarkStart w:id="254" w:name="_Toc18740"/>
            <w:bookmarkStart w:id="255" w:name="_Toc2747"/>
            <w:r>
              <w:rPr>
                <w:rFonts w:hint="eastAsia" w:ascii="仿宋" w:hAnsi="仿宋" w:eastAsia="仿宋" w:cs="仿宋"/>
                <w:b w:val="0"/>
                <w:sz w:val="28"/>
                <w:szCs w:val="28"/>
                <w:highlight w:val="none"/>
              </w:rPr>
              <w:t>不允许</w:t>
            </w:r>
            <w:bookmarkEnd w:id="253"/>
            <w:bookmarkEnd w:id="254"/>
            <w:bookmarkEnd w:id="255"/>
          </w:p>
        </w:tc>
      </w:tr>
      <w:tr w14:paraId="125E0E86">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4E6">
            <w:pPr>
              <w:pStyle w:val="7"/>
              <w:spacing w:line="240" w:lineRule="auto"/>
              <w:jc w:val="center"/>
              <w:rPr>
                <w:rFonts w:hint="eastAsia" w:ascii="仿宋" w:hAnsi="仿宋" w:eastAsia="仿宋" w:cs="仿宋"/>
                <w:b w:val="0"/>
                <w:sz w:val="28"/>
                <w:szCs w:val="28"/>
                <w:highlight w:val="none"/>
              </w:rPr>
            </w:pPr>
            <w:bookmarkStart w:id="256" w:name="_Toc7203"/>
            <w:r>
              <w:rPr>
                <w:rFonts w:hint="eastAsia" w:ascii="仿宋" w:hAnsi="仿宋" w:eastAsia="仿宋" w:cs="仿宋"/>
                <w:b w:val="0"/>
                <w:sz w:val="28"/>
                <w:szCs w:val="28"/>
                <w:highlight w:val="none"/>
              </w:rPr>
              <w:t>26</w:t>
            </w:r>
            <w:bookmarkEnd w:id="256"/>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A54E">
            <w:pPr>
              <w:pStyle w:val="7"/>
              <w:spacing w:line="240" w:lineRule="auto"/>
              <w:jc w:val="center"/>
              <w:rPr>
                <w:rFonts w:hint="eastAsia" w:ascii="仿宋" w:hAnsi="仿宋" w:eastAsia="仿宋" w:cs="仿宋"/>
                <w:b w:val="0"/>
                <w:sz w:val="28"/>
                <w:szCs w:val="28"/>
                <w:highlight w:val="none"/>
              </w:rPr>
            </w:pPr>
            <w:bookmarkStart w:id="257" w:name="_Toc19038"/>
            <w:bookmarkEnd w:id="257"/>
            <w:bookmarkStart w:id="258" w:name="_Toc7680"/>
            <w:bookmarkEnd w:id="258"/>
            <w:bookmarkStart w:id="259" w:name="_Toc13674"/>
            <w:bookmarkEnd w:id="259"/>
            <w:bookmarkStart w:id="260" w:name="_Toc9045"/>
            <w:bookmarkEnd w:id="260"/>
            <w:bookmarkStart w:id="261" w:name="_Toc2625"/>
            <w:bookmarkStart w:id="262" w:name="_Toc32676"/>
            <w:bookmarkStart w:id="263" w:name="_Toc2237"/>
            <w:r>
              <w:rPr>
                <w:rFonts w:hint="eastAsia" w:ascii="仿宋" w:hAnsi="仿宋" w:eastAsia="仿宋" w:cs="仿宋"/>
                <w:b w:val="0"/>
                <w:sz w:val="28"/>
                <w:szCs w:val="28"/>
                <w:highlight w:val="none"/>
              </w:rPr>
              <w:t>签字或盖章要求</w:t>
            </w:r>
            <w:bookmarkEnd w:id="261"/>
            <w:bookmarkEnd w:id="262"/>
            <w:bookmarkEnd w:id="263"/>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7990">
            <w:pPr>
              <w:pStyle w:val="7"/>
              <w:spacing w:line="240" w:lineRule="auto"/>
              <w:ind w:firstLine="560" w:firstLineChars="200"/>
              <w:jc w:val="both"/>
              <w:rPr>
                <w:rFonts w:hint="eastAsia" w:ascii="仿宋" w:hAnsi="仿宋" w:eastAsia="仿宋" w:cs="仿宋"/>
                <w:b w:val="0"/>
                <w:sz w:val="28"/>
                <w:szCs w:val="28"/>
                <w:highlight w:val="none"/>
              </w:rPr>
            </w:pPr>
            <w:bookmarkStart w:id="264" w:name="_Toc31579"/>
            <w:bookmarkEnd w:id="264"/>
            <w:bookmarkStart w:id="265" w:name="_Toc24394"/>
            <w:bookmarkEnd w:id="265"/>
            <w:bookmarkStart w:id="266" w:name="_Toc15053"/>
            <w:bookmarkEnd w:id="266"/>
            <w:bookmarkStart w:id="267" w:name="_Toc21453"/>
            <w:bookmarkEnd w:id="267"/>
            <w:bookmarkStart w:id="268" w:name="_Toc14655"/>
            <w:bookmarkStart w:id="269" w:name="_Toc9946"/>
            <w:bookmarkStart w:id="270" w:name="_Toc25816"/>
            <w:r>
              <w:rPr>
                <w:rFonts w:hint="eastAsia" w:ascii="仿宋" w:hAnsi="仿宋" w:eastAsia="仿宋" w:cs="仿宋"/>
                <w:b w:val="0"/>
                <w:sz w:val="28"/>
                <w:szCs w:val="28"/>
                <w:highlight w:val="none"/>
              </w:rPr>
              <w:t>按本磋商文件规定</w:t>
            </w:r>
            <w:bookmarkEnd w:id="268"/>
            <w:bookmarkEnd w:id="269"/>
            <w:bookmarkEnd w:id="270"/>
          </w:p>
        </w:tc>
      </w:tr>
      <w:tr w14:paraId="24E3B613">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317E">
            <w:pPr>
              <w:pStyle w:val="7"/>
              <w:spacing w:line="240" w:lineRule="auto"/>
              <w:jc w:val="center"/>
              <w:rPr>
                <w:rFonts w:hint="eastAsia" w:ascii="仿宋" w:hAnsi="仿宋" w:eastAsia="仿宋" w:cs="仿宋"/>
                <w:b w:val="0"/>
                <w:sz w:val="28"/>
                <w:szCs w:val="28"/>
                <w:highlight w:val="none"/>
              </w:rPr>
            </w:pPr>
            <w:bookmarkStart w:id="271" w:name="_Toc32635"/>
            <w:r>
              <w:rPr>
                <w:rFonts w:hint="eastAsia" w:ascii="仿宋" w:hAnsi="仿宋" w:eastAsia="仿宋" w:cs="仿宋"/>
                <w:b w:val="0"/>
                <w:sz w:val="28"/>
                <w:szCs w:val="28"/>
                <w:highlight w:val="none"/>
              </w:rPr>
              <w:t>27</w:t>
            </w:r>
            <w:bookmarkEnd w:id="271"/>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E447">
            <w:pPr>
              <w:pStyle w:val="7"/>
              <w:spacing w:line="240" w:lineRule="auto"/>
              <w:jc w:val="center"/>
              <w:rPr>
                <w:rFonts w:hint="eastAsia" w:ascii="仿宋" w:hAnsi="仿宋" w:eastAsia="仿宋" w:cs="仿宋"/>
                <w:b w:val="0"/>
                <w:sz w:val="28"/>
                <w:szCs w:val="28"/>
                <w:highlight w:val="none"/>
              </w:rPr>
            </w:pPr>
            <w:bookmarkStart w:id="272" w:name="_Toc7392"/>
            <w:bookmarkEnd w:id="272"/>
            <w:bookmarkStart w:id="273" w:name="_Toc4220"/>
            <w:bookmarkEnd w:id="273"/>
            <w:bookmarkStart w:id="274" w:name="_Toc13047"/>
            <w:bookmarkEnd w:id="274"/>
            <w:bookmarkStart w:id="275" w:name="_Toc1137"/>
            <w:bookmarkEnd w:id="275"/>
            <w:bookmarkStart w:id="276" w:name="_Toc19474"/>
            <w:bookmarkStart w:id="277" w:name="_Toc13676"/>
            <w:bookmarkStart w:id="278" w:name="_Toc6750"/>
            <w:r>
              <w:rPr>
                <w:rFonts w:hint="eastAsia" w:ascii="仿宋" w:hAnsi="仿宋" w:eastAsia="仿宋" w:cs="仿宋"/>
                <w:b w:val="0"/>
                <w:sz w:val="28"/>
                <w:szCs w:val="28"/>
                <w:highlight w:val="none"/>
              </w:rPr>
              <w:t>投标文件份数</w:t>
            </w:r>
            <w:bookmarkEnd w:id="276"/>
            <w:bookmarkEnd w:id="277"/>
            <w:bookmarkEnd w:id="278"/>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5093">
            <w:pPr>
              <w:pStyle w:val="7"/>
              <w:keepNext w:val="0"/>
              <w:keepLines w:val="0"/>
              <w:pageBreakBefore w:val="0"/>
              <w:kinsoku/>
              <w:wordWrap w:val="0"/>
              <w:overflowPunct/>
              <w:autoSpaceDE/>
              <w:autoSpaceDN/>
              <w:bidi w:val="0"/>
              <w:spacing w:line="400" w:lineRule="exact"/>
              <w:jc w:val="both"/>
              <w:rPr>
                <w:rFonts w:hint="default" w:ascii="仿宋" w:hAnsi="仿宋" w:eastAsia="仿宋" w:cs="仿宋"/>
                <w:b w:val="0"/>
                <w:color w:val="auto"/>
                <w:sz w:val="28"/>
                <w:szCs w:val="28"/>
                <w:highlight w:val="none"/>
              </w:rPr>
            </w:pPr>
            <w:bookmarkStart w:id="279" w:name="_Toc7337"/>
            <w:bookmarkEnd w:id="279"/>
            <w:r>
              <w:rPr>
                <w:rFonts w:ascii="仿宋" w:hAnsi="仿宋" w:eastAsia="仿宋" w:cs="仿宋"/>
                <w:b/>
                <w:bCs/>
                <w:color w:val="auto"/>
                <w:sz w:val="28"/>
                <w:szCs w:val="28"/>
                <w:highlight w:val="none"/>
              </w:rPr>
              <w:t>正本、副本分别胶装密封，正本</w:t>
            </w:r>
            <w:r>
              <w:rPr>
                <w:rFonts w:hint="eastAsia" w:ascii="仿宋" w:hAnsi="仿宋" w:eastAsia="仿宋" w:cs="仿宋"/>
                <w:b/>
                <w:bCs/>
                <w:color w:val="auto"/>
                <w:sz w:val="28"/>
                <w:szCs w:val="28"/>
                <w:highlight w:val="none"/>
                <w:lang w:val="en-US" w:eastAsia="zh-CN"/>
              </w:rPr>
              <w:t>一</w:t>
            </w:r>
            <w:r>
              <w:rPr>
                <w:rFonts w:ascii="仿宋" w:hAnsi="仿宋" w:eastAsia="仿宋" w:cs="仿宋"/>
                <w:b/>
                <w:bCs/>
                <w:color w:val="auto"/>
                <w:sz w:val="28"/>
                <w:szCs w:val="28"/>
                <w:highlight w:val="none"/>
              </w:rPr>
              <w:t>份</w:t>
            </w:r>
            <w:r>
              <w:rPr>
                <w:rFonts w:hint="eastAsia" w:ascii="仿宋" w:hAnsi="仿宋" w:eastAsia="仿宋" w:cs="仿宋"/>
                <w:b/>
                <w:bCs/>
                <w:color w:val="auto"/>
                <w:sz w:val="28"/>
                <w:szCs w:val="28"/>
                <w:highlight w:val="none"/>
                <w:lang w:eastAsia="zh-CN"/>
              </w:rPr>
              <w:t>、</w:t>
            </w:r>
            <w:r>
              <w:rPr>
                <w:rFonts w:ascii="仿宋" w:hAnsi="仿宋" w:eastAsia="仿宋" w:cs="仿宋"/>
                <w:b/>
                <w:bCs/>
                <w:color w:val="auto"/>
                <w:sz w:val="28"/>
                <w:szCs w:val="28"/>
                <w:highlight w:val="none"/>
              </w:rPr>
              <w:t>副本</w:t>
            </w:r>
            <w:r>
              <w:rPr>
                <w:rFonts w:hint="eastAsia" w:ascii="仿宋" w:hAnsi="仿宋" w:eastAsia="仿宋" w:cs="仿宋"/>
                <w:b/>
                <w:bCs/>
                <w:color w:val="auto"/>
                <w:sz w:val="28"/>
                <w:szCs w:val="28"/>
                <w:highlight w:val="none"/>
                <w:lang w:val="en-US" w:eastAsia="zh-CN"/>
              </w:rPr>
              <w:t>三</w:t>
            </w:r>
            <w:r>
              <w:rPr>
                <w:rFonts w:ascii="仿宋" w:hAnsi="仿宋" w:eastAsia="仿宋" w:cs="仿宋"/>
                <w:b/>
                <w:bCs/>
                <w:color w:val="auto"/>
                <w:sz w:val="28"/>
                <w:szCs w:val="28"/>
                <w:highlight w:val="none"/>
              </w:rPr>
              <w:t>份</w:t>
            </w:r>
            <w:r>
              <w:rPr>
                <w:rFonts w:hint="eastAsia" w:ascii="仿宋" w:hAnsi="仿宋" w:eastAsia="仿宋" w:cs="仿宋"/>
                <w:b/>
                <w:bCs/>
                <w:color w:val="auto"/>
                <w:sz w:val="28"/>
                <w:szCs w:val="28"/>
                <w:highlight w:val="none"/>
                <w:lang w:eastAsia="zh-CN"/>
              </w:rPr>
              <w:t>、正本一致的电子版一份（</w:t>
            </w:r>
            <w:r>
              <w:rPr>
                <w:rFonts w:hint="eastAsia" w:ascii="仿宋" w:hAnsi="仿宋" w:eastAsia="仿宋" w:cs="仿宋"/>
                <w:b/>
                <w:bCs/>
                <w:color w:val="auto"/>
                <w:sz w:val="28"/>
                <w:szCs w:val="28"/>
                <w:highlight w:val="none"/>
                <w:lang w:val="en-US" w:eastAsia="zh-CN"/>
              </w:rPr>
              <w:t>含盖章</w:t>
            </w:r>
            <w:r>
              <w:rPr>
                <w:rFonts w:hint="eastAsia" w:ascii="仿宋" w:hAnsi="仿宋" w:eastAsia="仿宋" w:cs="仿宋"/>
                <w:b/>
                <w:bCs/>
                <w:color w:val="auto"/>
                <w:sz w:val="28"/>
                <w:szCs w:val="28"/>
                <w:highlight w:val="none"/>
                <w:lang w:eastAsia="zh-CN"/>
              </w:rPr>
              <w:t>）</w:t>
            </w:r>
            <w:r>
              <w:rPr>
                <w:rFonts w:ascii="仿宋" w:hAnsi="仿宋" w:eastAsia="仿宋" w:cs="仿宋"/>
                <w:b/>
                <w:bCs/>
                <w:color w:val="auto"/>
                <w:sz w:val="28"/>
                <w:szCs w:val="28"/>
                <w:highlight w:val="none"/>
              </w:rPr>
              <w:t>。</w:t>
            </w:r>
          </w:p>
          <w:p w14:paraId="4E6519C3">
            <w:pPr>
              <w:pStyle w:val="7"/>
              <w:keepNext w:val="0"/>
              <w:keepLines w:val="0"/>
              <w:pageBreakBefore w:val="0"/>
              <w:kinsoku/>
              <w:wordWrap w:val="0"/>
              <w:overflowPunct/>
              <w:autoSpaceDE/>
              <w:autoSpaceDN/>
              <w:bidi w:val="0"/>
              <w:spacing w:line="400" w:lineRule="exact"/>
              <w:jc w:val="both"/>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供应商应将投标响应文件正本与副本分别装订密封，密封袋上应正确标明“正本”或“副本”字样。</w:t>
            </w:r>
          </w:p>
          <w:p w14:paraId="440276BC">
            <w:pPr>
              <w:pStyle w:val="7"/>
              <w:spacing w:line="240" w:lineRule="auto"/>
              <w:ind w:firstLine="560" w:firstLineChars="200"/>
              <w:jc w:val="both"/>
              <w:rPr>
                <w:rFonts w:hint="eastAsia" w:ascii="仿宋" w:hAnsi="仿宋" w:eastAsia="仿宋" w:cs="仿宋"/>
                <w:b w:val="0"/>
                <w:sz w:val="28"/>
                <w:szCs w:val="28"/>
                <w:highlight w:val="none"/>
              </w:rPr>
            </w:pPr>
            <w:r>
              <w:rPr>
                <w:rFonts w:ascii="仿宋" w:hAnsi="仿宋" w:eastAsia="仿宋" w:cs="仿宋"/>
                <w:b w:val="0"/>
                <w:color w:val="auto"/>
                <w:sz w:val="28"/>
                <w:szCs w:val="28"/>
                <w:highlight w:val="none"/>
              </w:rPr>
              <w:t>开标现场提交用文件袋密封的投标响应文件，封袋上注明：采购人名称、项目名称及项目编号、供应商名称，正本/副本，并注明“在  年  月  日  时  分（投标截止时间）之前不得启封”字样。</w:t>
            </w:r>
          </w:p>
        </w:tc>
      </w:tr>
      <w:tr w14:paraId="080A3686">
        <w:tblPrEx>
          <w:tblCellMar>
            <w:top w:w="0" w:type="dxa"/>
            <w:left w:w="0" w:type="dxa"/>
            <w:bottom w:w="0" w:type="dxa"/>
            <w:right w:w="0" w:type="dxa"/>
          </w:tblCellMar>
        </w:tblPrEx>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F586">
            <w:pPr>
              <w:pStyle w:val="7"/>
              <w:spacing w:line="240" w:lineRule="auto"/>
              <w:jc w:val="center"/>
              <w:rPr>
                <w:rFonts w:hint="eastAsia" w:ascii="仿宋" w:hAnsi="仿宋" w:eastAsia="仿宋" w:cs="仿宋"/>
                <w:b w:val="0"/>
                <w:sz w:val="28"/>
                <w:szCs w:val="28"/>
                <w:highlight w:val="none"/>
              </w:rPr>
            </w:pPr>
            <w:bookmarkStart w:id="280" w:name="_Toc14672"/>
            <w:r>
              <w:rPr>
                <w:rFonts w:hint="eastAsia" w:ascii="仿宋" w:hAnsi="仿宋" w:eastAsia="仿宋" w:cs="仿宋"/>
                <w:b w:val="0"/>
                <w:sz w:val="28"/>
                <w:szCs w:val="28"/>
                <w:highlight w:val="none"/>
              </w:rPr>
              <w:t>28</w:t>
            </w:r>
            <w:bookmarkEnd w:id="280"/>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4C73">
            <w:pPr>
              <w:pStyle w:val="7"/>
              <w:spacing w:line="240" w:lineRule="auto"/>
              <w:jc w:val="center"/>
              <w:rPr>
                <w:rFonts w:hint="eastAsia" w:ascii="仿宋" w:hAnsi="仿宋" w:eastAsia="仿宋" w:cs="仿宋"/>
                <w:b w:val="0"/>
                <w:sz w:val="28"/>
                <w:szCs w:val="28"/>
                <w:highlight w:val="none"/>
              </w:rPr>
            </w:pPr>
            <w:bookmarkStart w:id="281" w:name="_Toc28368"/>
            <w:bookmarkEnd w:id="281"/>
            <w:bookmarkStart w:id="282" w:name="_Toc14309"/>
            <w:bookmarkEnd w:id="282"/>
            <w:bookmarkStart w:id="283" w:name="_Toc1095"/>
            <w:bookmarkEnd w:id="283"/>
            <w:bookmarkStart w:id="284" w:name="_Toc12120"/>
            <w:bookmarkEnd w:id="284"/>
            <w:bookmarkStart w:id="285" w:name="_Toc16793"/>
            <w:bookmarkStart w:id="286" w:name="_Toc13931"/>
            <w:bookmarkStart w:id="287" w:name="_Toc5276"/>
            <w:r>
              <w:rPr>
                <w:rFonts w:hint="eastAsia" w:ascii="仿宋" w:hAnsi="仿宋" w:eastAsia="仿宋" w:cs="仿宋"/>
                <w:b w:val="0"/>
                <w:sz w:val="28"/>
                <w:szCs w:val="28"/>
                <w:highlight w:val="none"/>
              </w:rPr>
              <w:t>递交投标文件地点</w:t>
            </w:r>
            <w:bookmarkEnd w:id="285"/>
            <w:bookmarkEnd w:id="286"/>
            <w:bookmarkEnd w:id="287"/>
          </w:p>
        </w:tc>
        <w:tc>
          <w:tcPr>
            <w:tcW w:w="7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E65B">
            <w:pPr>
              <w:pStyle w:val="7"/>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sz w:val="28"/>
                <w:szCs w:val="28"/>
                <w:highlight w:val="none"/>
              </w:rPr>
            </w:pPr>
            <w:bookmarkStart w:id="288" w:name="_Toc5756"/>
            <w:bookmarkEnd w:id="288"/>
            <w:bookmarkStart w:id="289" w:name="_Toc1391"/>
            <w:bookmarkEnd w:id="289"/>
            <w:bookmarkStart w:id="290" w:name="_Toc144969027"/>
            <w:bookmarkStart w:id="291" w:name="_Toc10103"/>
            <w:r>
              <w:rPr>
                <w:rFonts w:hint="eastAsia" w:ascii="仿宋" w:hAnsi="仿宋" w:eastAsia="仿宋" w:cs="仿宋"/>
                <w:b w:val="0"/>
                <w:sz w:val="28"/>
                <w:szCs w:val="28"/>
                <w:highlight w:val="none"/>
                <w:lang w:eastAsia="zh-CN"/>
              </w:rPr>
              <w:t>详见磋商公告</w:t>
            </w:r>
            <w:r>
              <w:rPr>
                <w:rFonts w:hint="eastAsia" w:ascii="仿宋" w:hAnsi="仿宋" w:eastAsia="仿宋" w:cs="仿宋"/>
                <w:b w:val="0"/>
                <w:sz w:val="28"/>
                <w:szCs w:val="28"/>
                <w:highlight w:val="none"/>
              </w:rPr>
              <w:t>。</w:t>
            </w:r>
            <w:bookmarkEnd w:id="290"/>
            <w:bookmarkEnd w:id="291"/>
          </w:p>
        </w:tc>
      </w:tr>
      <w:tr w14:paraId="2D92003F">
        <w:tblPrEx>
          <w:tblCellMar>
            <w:top w:w="0" w:type="dxa"/>
            <w:left w:w="0" w:type="dxa"/>
            <w:bottom w:w="0" w:type="dxa"/>
            <w:right w:w="0" w:type="dxa"/>
          </w:tblCellMar>
        </w:tblPrEx>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6020D710">
            <w:pPr>
              <w:pStyle w:val="7"/>
              <w:spacing w:line="240" w:lineRule="auto"/>
              <w:jc w:val="center"/>
              <w:rPr>
                <w:rFonts w:hint="eastAsia" w:ascii="仿宋" w:hAnsi="仿宋" w:eastAsia="仿宋" w:cs="仿宋"/>
                <w:b w:val="0"/>
                <w:sz w:val="28"/>
                <w:szCs w:val="28"/>
                <w:highlight w:val="none"/>
              </w:rPr>
            </w:pPr>
            <w:bookmarkStart w:id="292" w:name="_Toc14954"/>
            <w:r>
              <w:rPr>
                <w:rFonts w:hint="eastAsia" w:ascii="仿宋" w:hAnsi="仿宋" w:eastAsia="仿宋" w:cs="仿宋"/>
                <w:b w:val="0"/>
                <w:sz w:val="28"/>
                <w:szCs w:val="28"/>
                <w:highlight w:val="none"/>
              </w:rPr>
              <w:t>29</w:t>
            </w:r>
            <w:bookmarkEnd w:id="292"/>
          </w:p>
        </w:tc>
        <w:tc>
          <w:tcPr>
            <w:tcW w:w="2023" w:type="dxa"/>
            <w:tcBorders>
              <w:top w:val="single" w:color="000000" w:sz="4" w:space="0"/>
              <w:left w:val="single" w:color="000000" w:sz="4" w:space="0"/>
              <w:bottom w:val="single" w:color="auto" w:sz="4" w:space="0"/>
              <w:right w:val="single" w:color="000000" w:sz="4" w:space="0"/>
            </w:tcBorders>
            <w:shd w:val="clear" w:color="auto" w:fill="auto"/>
            <w:vAlign w:val="center"/>
          </w:tcPr>
          <w:p w14:paraId="7FAB3DF7">
            <w:pPr>
              <w:pStyle w:val="7"/>
              <w:spacing w:line="240" w:lineRule="auto"/>
              <w:jc w:val="center"/>
              <w:rPr>
                <w:rFonts w:hint="eastAsia" w:ascii="仿宋" w:hAnsi="仿宋" w:eastAsia="仿宋" w:cs="仿宋"/>
                <w:b w:val="0"/>
                <w:sz w:val="28"/>
                <w:szCs w:val="28"/>
                <w:highlight w:val="none"/>
              </w:rPr>
            </w:pPr>
            <w:bookmarkStart w:id="293" w:name="_Toc23536"/>
            <w:bookmarkEnd w:id="293"/>
            <w:bookmarkStart w:id="294" w:name="_Toc11242"/>
            <w:bookmarkEnd w:id="294"/>
            <w:bookmarkStart w:id="295" w:name="_Toc18607"/>
            <w:bookmarkEnd w:id="295"/>
            <w:bookmarkStart w:id="296" w:name="_Toc26553"/>
            <w:bookmarkEnd w:id="296"/>
            <w:bookmarkStart w:id="297" w:name="_Toc12734"/>
            <w:bookmarkStart w:id="298" w:name="_Toc30982"/>
            <w:bookmarkStart w:id="299" w:name="_Toc31996"/>
            <w:r>
              <w:rPr>
                <w:rFonts w:hint="eastAsia" w:ascii="仿宋" w:hAnsi="仿宋" w:eastAsia="仿宋" w:cs="仿宋"/>
                <w:b w:val="0"/>
                <w:sz w:val="28"/>
                <w:szCs w:val="28"/>
                <w:highlight w:val="none"/>
              </w:rPr>
              <w:t>是否退还投标文件</w:t>
            </w:r>
            <w:bookmarkEnd w:id="297"/>
            <w:bookmarkEnd w:id="298"/>
            <w:bookmarkEnd w:id="299"/>
          </w:p>
        </w:tc>
        <w:tc>
          <w:tcPr>
            <w:tcW w:w="7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196DBB4E">
            <w:pPr>
              <w:pStyle w:val="7"/>
              <w:spacing w:line="240" w:lineRule="auto"/>
              <w:ind w:firstLine="560" w:firstLineChars="200"/>
              <w:rPr>
                <w:rFonts w:hint="eastAsia" w:ascii="仿宋" w:hAnsi="仿宋" w:eastAsia="仿宋" w:cs="仿宋"/>
                <w:b w:val="0"/>
                <w:sz w:val="28"/>
                <w:szCs w:val="28"/>
                <w:highlight w:val="none"/>
              </w:rPr>
            </w:pPr>
            <w:bookmarkStart w:id="300" w:name="_Toc30822"/>
            <w:bookmarkEnd w:id="300"/>
            <w:bookmarkStart w:id="301" w:name="_Toc10402"/>
            <w:bookmarkEnd w:id="301"/>
            <w:bookmarkStart w:id="302" w:name="_Toc31840"/>
            <w:bookmarkEnd w:id="302"/>
            <w:bookmarkStart w:id="303" w:name="_Toc1232"/>
            <w:bookmarkEnd w:id="303"/>
            <w:bookmarkStart w:id="304" w:name="_Toc7597"/>
            <w:bookmarkStart w:id="305" w:name="_Toc22203"/>
            <w:bookmarkStart w:id="306" w:name="_Toc21479"/>
            <w:r>
              <w:rPr>
                <w:rFonts w:hint="eastAsia" w:ascii="仿宋" w:hAnsi="仿宋" w:eastAsia="仿宋" w:cs="仿宋"/>
                <w:b w:val="0"/>
                <w:sz w:val="28"/>
                <w:szCs w:val="28"/>
                <w:highlight w:val="none"/>
              </w:rPr>
              <w:t>否</w:t>
            </w:r>
            <w:bookmarkEnd w:id="304"/>
            <w:bookmarkEnd w:id="305"/>
            <w:bookmarkEnd w:id="306"/>
          </w:p>
        </w:tc>
      </w:tr>
      <w:tr w14:paraId="25305687">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36FBB245">
            <w:pPr>
              <w:pStyle w:val="7"/>
              <w:spacing w:line="240" w:lineRule="auto"/>
              <w:jc w:val="center"/>
              <w:rPr>
                <w:rFonts w:hint="eastAsia" w:ascii="仿宋" w:hAnsi="仿宋" w:eastAsia="仿宋" w:cs="仿宋"/>
                <w:b w:val="0"/>
                <w:sz w:val="28"/>
                <w:szCs w:val="28"/>
                <w:highlight w:val="none"/>
              </w:rPr>
            </w:pPr>
            <w:bookmarkStart w:id="307" w:name="_Toc19182"/>
            <w:r>
              <w:rPr>
                <w:rFonts w:hint="eastAsia" w:ascii="仿宋" w:hAnsi="仿宋" w:eastAsia="仿宋" w:cs="仿宋"/>
                <w:b w:val="0"/>
                <w:sz w:val="28"/>
                <w:szCs w:val="28"/>
                <w:highlight w:val="none"/>
              </w:rPr>
              <w:t>30</w:t>
            </w:r>
            <w:bookmarkEnd w:id="307"/>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7DD39BE7">
            <w:pPr>
              <w:pStyle w:val="7"/>
              <w:spacing w:line="240" w:lineRule="auto"/>
              <w:jc w:val="center"/>
              <w:rPr>
                <w:rFonts w:hint="eastAsia" w:ascii="仿宋" w:hAnsi="仿宋" w:eastAsia="仿宋" w:cs="仿宋"/>
                <w:b w:val="0"/>
                <w:sz w:val="28"/>
                <w:szCs w:val="28"/>
                <w:highlight w:val="none"/>
              </w:rPr>
            </w:pPr>
            <w:bookmarkStart w:id="308" w:name="_Toc19594"/>
            <w:bookmarkEnd w:id="308"/>
            <w:bookmarkStart w:id="309" w:name="_Toc10354"/>
            <w:bookmarkEnd w:id="309"/>
            <w:bookmarkStart w:id="310" w:name="_Toc2446"/>
            <w:bookmarkEnd w:id="310"/>
            <w:bookmarkStart w:id="311" w:name="_Toc31226"/>
            <w:bookmarkEnd w:id="311"/>
            <w:bookmarkStart w:id="312" w:name="_Toc6821"/>
            <w:bookmarkStart w:id="313" w:name="_Toc11140"/>
            <w:bookmarkStart w:id="314" w:name="_Toc12750"/>
            <w:r>
              <w:rPr>
                <w:rFonts w:hint="eastAsia" w:ascii="仿宋" w:hAnsi="仿宋" w:eastAsia="仿宋" w:cs="仿宋"/>
                <w:b w:val="0"/>
                <w:sz w:val="28"/>
                <w:szCs w:val="28"/>
                <w:highlight w:val="none"/>
              </w:rPr>
              <w:t>开标时间和地点</w:t>
            </w:r>
            <w:bookmarkEnd w:id="312"/>
            <w:bookmarkEnd w:id="313"/>
            <w:bookmarkEnd w:id="314"/>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1BC5570F">
            <w:pPr>
              <w:spacing w:line="240" w:lineRule="auto"/>
              <w:ind w:firstLine="560" w:firstLineChars="200"/>
              <w:rPr>
                <w:rFonts w:hint="eastAsia" w:ascii="仿宋" w:hAnsi="仿宋" w:eastAsia="仿宋" w:cs="仿宋"/>
                <w:sz w:val="28"/>
                <w:szCs w:val="28"/>
                <w:highlight w:val="none"/>
                <w:lang w:val="en-US" w:eastAsia="zh-CN"/>
              </w:rPr>
            </w:pPr>
            <w:bookmarkStart w:id="315" w:name="_Toc10596"/>
            <w:bookmarkEnd w:id="315"/>
            <w:bookmarkStart w:id="316" w:name="_Toc27324"/>
            <w:bookmarkEnd w:id="316"/>
            <w:bookmarkStart w:id="317" w:name="_Toc3980"/>
            <w:bookmarkEnd w:id="317"/>
            <w:bookmarkStart w:id="318" w:name="_Toc30687"/>
            <w:bookmarkEnd w:id="318"/>
            <w:r>
              <w:rPr>
                <w:rFonts w:hint="eastAsia" w:ascii="仿宋" w:hAnsi="仿宋" w:eastAsia="仿宋" w:cs="仿宋"/>
                <w:sz w:val="28"/>
                <w:szCs w:val="28"/>
                <w:highlight w:val="none"/>
                <w:lang w:val="en-US" w:eastAsia="zh-CN"/>
              </w:rPr>
              <w:t>时间：2025年10月24日9点00分（北京时间）</w:t>
            </w:r>
          </w:p>
          <w:p w14:paraId="27C6C84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地点：</w:t>
            </w:r>
            <w:r>
              <w:rPr>
                <w:rFonts w:hint="eastAsia" w:ascii="仿宋" w:hAnsi="仿宋" w:eastAsia="仿宋" w:cs="仿宋"/>
                <w:snapToGrid/>
                <w:color w:val="000000" w:themeColor="text1"/>
                <w:kern w:val="0"/>
                <w:sz w:val="28"/>
                <w:szCs w:val="28"/>
                <w:highlight w:val="none"/>
                <w:lang w:val="en-US" w:eastAsia="zh-CN"/>
                <w14:textFill>
                  <w14:solidFill>
                    <w14:schemeClr w14:val="tx1"/>
                  </w14:solidFill>
                </w14:textFill>
              </w:rPr>
              <w:t>安徽泓昌建设项目管理有限公司开标室(淮南市田家庵区淮舜南路华茂大厦10楼)</w:t>
            </w:r>
          </w:p>
        </w:tc>
      </w:tr>
      <w:tr w14:paraId="4D411F11">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20D0D194">
            <w:pPr>
              <w:pStyle w:val="7"/>
              <w:spacing w:line="240" w:lineRule="auto"/>
              <w:jc w:val="center"/>
              <w:rPr>
                <w:rFonts w:hint="eastAsia" w:ascii="仿宋" w:hAnsi="仿宋" w:eastAsia="仿宋" w:cs="仿宋"/>
                <w:b w:val="0"/>
                <w:sz w:val="28"/>
                <w:szCs w:val="28"/>
                <w:highlight w:val="none"/>
              </w:rPr>
            </w:pPr>
            <w:bookmarkStart w:id="319" w:name="_Toc6280"/>
            <w:r>
              <w:rPr>
                <w:rFonts w:hint="eastAsia" w:ascii="仿宋" w:hAnsi="仿宋" w:eastAsia="仿宋" w:cs="仿宋"/>
                <w:b w:val="0"/>
                <w:sz w:val="28"/>
                <w:szCs w:val="28"/>
                <w:highlight w:val="none"/>
              </w:rPr>
              <w:t>31</w:t>
            </w:r>
            <w:bookmarkEnd w:id="319"/>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3B8544C2">
            <w:pPr>
              <w:pStyle w:val="7"/>
              <w:spacing w:line="240" w:lineRule="auto"/>
              <w:jc w:val="center"/>
              <w:rPr>
                <w:rFonts w:hint="eastAsia" w:ascii="仿宋" w:hAnsi="仿宋" w:eastAsia="仿宋" w:cs="仿宋"/>
                <w:b w:val="0"/>
                <w:sz w:val="28"/>
                <w:szCs w:val="28"/>
                <w:highlight w:val="none"/>
              </w:rPr>
            </w:pPr>
            <w:bookmarkStart w:id="320" w:name="_Toc9064"/>
            <w:bookmarkEnd w:id="320"/>
            <w:bookmarkStart w:id="321" w:name="_Toc19129"/>
            <w:bookmarkEnd w:id="321"/>
            <w:bookmarkStart w:id="322" w:name="_Toc8744"/>
            <w:bookmarkEnd w:id="322"/>
            <w:bookmarkStart w:id="323" w:name="_Toc24494"/>
            <w:bookmarkEnd w:id="323"/>
            <w:bookmarkStart w:id="324" w:name="_Toc17239"/>
            <w:bookmarkStart w:id="325" w:name="_Toc28772"/>
            <w:bookmarkStart w:id="326" w:name="_Toc20855"/>
            <w:r>
              <w:rPr>
                <w:rFonts w:hint="eastAsia" w:ascii="仿宋" w:hAnsi="仿宋" w:eastAsia="仿宋" w:cs="仿宋"/>
                <w:b w:val="0"/>
                <w:sz w:val="28"/>
                <w:szCs w:val="28"/>
                <w:highlight w:val="none"/>
              </w:rPr>
              <w:t>开标程序</w:t>
            </w:r>
            <w:bookmarkEnd w:id="324"/>
            <w:bookmarkEnd w:id="325"/>
            <w:bookmarkEnd w:id="326"/>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1BB49524">
            <w:pPr>
              <w:pStyle w:val="7"/>
              <w:spacing w:line="240" w:lineRule="auto"/>
              <w:ind w:firstLine="560" w:firstLineChars="200"/>
              <w:jc w:val="both"/>
              <w:rPr>
                <w:rFonts w:hint="eastAsia" w:ascii="仿宋" w:hAnsi="仿宋" w:eastAsia="仿宋" w:cs="仿宋"/>
                <w:b w:val="0"/>
                <w:sz w:val="28"/>
                <w:szCs w:val="28"/>
                <w:highlight w:val="none"/>
                <w:lang w:val="en-US" w:eastAsia="zh-CN"/>
              </w:rPr>
            </w:pPr>
            <w:bookmarkStart w:id="327" w:name="_Toc19935"/>
            <w:bookmarkEnd w:id="327"/>
            <w:bookmarkStart w:id="328" w:name="_Toc30301"/>
            <w:bookmarkEnd w:id="328"/>
            <w:bookmarkStart w:id="329" w:name="_Toc15592"/>
            <w:bookmarkEnd w:id="329"/>
            <w:bookmarkStart w:id="330" w:name="_Toc23222"/>
            <w:bookmarkEnd w:id="330"/>
            <w:r>
              <w:rPr>
                <w:rFonts w:hint="eastAsia" w:ascii="仿宋" w:hAnsi="仿宋" w:eastAsia="仿宋" w:cs="仿宋"/>
                <w:b w:val="0"/>
                <w:sz w:val="28"/>
                <w:szCs w:val="28"/>
                <w:highlight w:val="none"/>
                <w:lang w:val="en-US" w:eastAsia="zh-CN"/>
              </w:rPr>
              <w:t>开标由采购人委托代理机构主持，供应商和有关方面代表参加。所有供应商应派授权代表（到场的投标人如果是法定代表人则只查验身份证，若为委托代理人则查验其授权委托书原件及身份证）参加开标会，并签到，否则不得对比选过程及结果提出任何异议。</w:t>
            </w:r>
          </w:p>
          <w:p w14:paraId="416A03D9">
            <w:pPr>
              <w:pStyle w:val="7"/>
              <w:spacing w:line="240" w:lineRule="auto"/>
              <w:ind w:firstLine="560" w:firstLineChars="200"/>
              <w:jc w:val="both"/>
              <w:rPr>
                <w:rFonts w:hint="eastAsia" w:ascii="仿宋" w:hAnsi="仿宋" w:eastAsia="仿宋" w:cs="仿宋"/>
                <w:b w:val="0"/>
                <w:sz w:val="28"/>
                <w:szCs w:val="28"/>
                <w:highlight w:val="none"/>
              </w:rPr>
            </w:pPr>
            <w:r>
              <w:rPr>
                <w:rFonts w:hint="eastAsia" w:ascii="仿宋" w:hAnsi="仿宋" w:eastAsia="仿宋" w:cs="仿宋"/>
                <w:b w:val="0"/>
                <w:sz w:val="28"/>
                <w:szCs w:val="28"/>
                <w:highlight w:val="none"/>
                <w:lang w:val="en-US" w:eastAsia="zh-CN"/>
              </w:rPr>
              <w:t>密封情况检查：由前两个签到的供应商代表检查投标文件密封情况。开标顺序：按供应商响应文件递交的顺序。</w:t>
            </w:r>
          </w:p>
        </w:tc>
      </w:tr>
      <w:tr w14:paraId="66102C68">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608DB446">
            <w:pPr>
              <w:pStyle w:val="7"/>
              <w:spacing w:line="240" w:lineRule="auto"/>
              <w:jc w:val="center"/>
              <w:rPr>
                <w:rFonts w:hint="eastAsia" w:ascii="仿宋" w:hAnsi="仿宋" w:eastAsia="仿宋" w:cs="仿宋"/>
                <w:b w:val="0"/>
                <w:sz w:val="28"/>
                <w:szCs w:val="28"/>
                <w:highlight w:val="none"/>
              </w:rPr>
            </w:pPr>
            <w:bookmarkStart w:id="331" w:name="_Toc24054"/>
            <w:r>
              <w:rPr>
                <w:rFonts w:hint="eastAsia" w:ascii="仿宋" w:hAnsi="仿宋" w:eastAsia="仿宋" w:cs="仿宋"/>
                <w:b w:val="0"/>
                <w:sz w:val="28"/>
                <w:szCs w:val="28"/>
                <w:highlight w:val="none"/>
              </w:rPr>
              <w:t>32</w:t>
            </w:r>
            <w:bookmarkEnd w:id="331"/>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1EA5D3D0">
            <w:pPr>
              <w:pStyle w:val="7"/>
              <w:spacing w:line="240" w:lineRule="auto"/>
              <w:jc w:val="center"/>
              <w:rPr>
                <w:rFonts w:hint="eastAsia" w:ascii="仿宋" w:hAnsi="仿宋" w:eastAsia="仿宋" w:cs="仿宋"/>
                <w:b w:val="0"/>
                <w:sz w:val="28"/>
                <w:szCs w:val="28"/>
                <w:highlight w:val="none"/>
              </w:rPr>
            </w:pPr>
            <w:bookmarkStart w:id="332" w:name="_Toc29648"/>
            <w:bookmarkEnd w:id="332"/>
            <w:bookmarkStart w:id="333" w:name="_Toc2310"/>
            <w:bookmarkEnd w:id="333"/>
            <w:bookmarkStart w:id="334" w:name="_Toc16585"/>
            <w:bookmarkEnd w:id="334"/>
            <w:bookmarkStart w:id="335" w:name="_Toc18200"/>
            <w:bookmarkEnd w:id="335"/>
            <w:bookmarkStart w:id="336" w:name="_Toc17186"/>
            <w:bookmarkStart w:id="337" w:name="_Toc28102"/>
            <w:bookmarkStart w:id="338" w:name="_Toc14078"/>
            <w:r>
              <w:rPr>
                <w:rFonts w:hint="eastAsia" w:ascii="仿宋" w:hAnsi="仿宋" w:eastAsia="仿宋" w:cs="仿宋"/>
                <w:b w:val="0"/>
                <w:sz w:val="28"/>
                <w:szCs w:val="28"/>
                <w:highlight w:val="none"/>
              </w:rPr>
              <w:t>磋商小组的组建</w:t>
            </w:r>
            <w:bookmarkEnd w:id="336"/>
            <w:bookmarkEnd w:id="337"/>
            <w:bookmarkEnd w:id="338"/>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1D354C07">
            <w:pPr>
              <w:spacing w:line="240" w:lineRule="auto"/>
              <w:ind w:firstLine="560" w:firstLineChars="200"/>
              <w:jc w:val="left"/>
              <w:rPr>
                <w:rFonts w:hint="eastAsia" w:ascii="仿宋" w:hAnsi="仿宋" w:eastAsia="仿宋" w:cs="仿宋"/>
                <w:b w:val="0"/>
                <w:sz w:val="28"/>
                <w:szCs w:val="28"/>
                <w:highlight w:val="none"/>
              </w:rPr>
            </w:pPr>
            <w:bookmarkStart w:id="339" w:name="_Toc23616"/>
            <w:bookmarkEnd w:id="339"/>
            <w:bookmarkStart w:id="340" w:name="_Toc4018"/>
            <w:bookmarkEnd w:id="340"/>
            <w:r>
              <w:rPr>
                <w:rFonts w:hint="eastAsia" w:ascii="仿宋" w:hAnsi="仿宋" w:eastAsia="仿宋" w:cs="仿宋"/>
                <w:kern w:val="0"/>
                <w:sz w:val="28"/>
                <w:szCs w:val="28"/>
                <w:highlight w:val="none"/>
                <w:lang w:bidi="ar"/>
              </w:rPr>
              <w:t>磋商小组构成：磋商小组由采购人代表和评审专家组成，3人或以上单数，其中经济、技术等方面的专家不少于成员总数的三分之二。</w:t>
            </w:r>
            <w:bookmarkStart w:id="341" w:name="_Toc749"/>
            <w:bookmarkEnd w:id="341"/>
            <w:bookmarkStart w:id="342" w:name="_Toc4065"/>
            <w:bookmarkEnd w:id="342"/>
          </w:p>
        </w:tc>
      </w:tr>
      <w:tr w14:paraId="1409D08A">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5D1481AB">
            <w:pPr>
              <w:pStyle w:val="7"/>
              <w:spacing w:line="240" w:lineRule="auto"/>
              <w:jc w:val="center"/>
              <w:rPr>
                <w:rFonts w:hint="eastAsia" w:ascii="仿宋" w:hAnsi="仿宋" w:eastAsia="仿宋" w:cs="仿宋"/>
                <w:b w:val="0"/>
                <w:sz w:val="28"/>
                <w:szCs w:val="28"/>
                <w:highlight w:val="none"/>
              </w:rPr>
            </w:pPr>
            <w:bookmarkStart w:id="343" w:name="_Toc29211"/>
            <w:r>
              <w:rPr>
                <w:rFonts w:hint="eastAsia" w:ascii="仿宋" w:hAnsi="仿宋" w:eastAsia="仿宋" w:cs="仿宋"/>
                <w:b w:val="0"/>
                <w:sz w:val="28"/>
                <w:szCs w:val="28"/>
                <w:highlight w:val="none"/>
              </w:rPr>
              <w:t>33</w:t>
            </w:r>
            <w:bookmarkEnd w:id="343"/>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664D6DF7">
            <w:pPr>
              <w:spacing w:line="240" w:lineRule="auto"/>
              <w:jc w:val="center"/>
              <w:rPr>
                <w:rFonts w:hint="eastAsia" w:ascii="仿宋" w:hAnsi="仿宋" w:eastAsia="仿宋" w:cs="仿宋"/>
                <w:sz w:val="28"/>
                <w:szCs w:val="28"/>
                <w:highlight w:val="none"/>
              </w:rPr>
            </w:pPr>
            <w:bookmarkStart w:id="344" w:name="_Toc26722"/>
            <w:bookmarkEnd w:id="344"/>
            <w:bookmarkStart w:id="345" w:name="_Toc26546"/>
            <w:bookmarkEnd w:id="345"/>
            <w:bookmarkStart w:id="346" w:name="_Toc20317"/>
            <w:bookmarkEnd w:id="346"/>
            <w:bookmarkStart w:id="347" w:name="_Toc5049"/>
            <w:bookmarkEnd w:id="347"/>
            <w:bookmarkStart w:id="348" w:name="_Toc143449007"/>
            <w:bookmarkStart w:id="349" w:name="_Toc11671"/>
            <w:bookmarkStart w:id="350" w:name="_Toc3698"/>
            <w:bookmarkStart w:id="351" w:name="_Toc143449729"/>
            <w:r>
              <w:rPr>
                <w:rFonts w:hint="eastAsia" w:ascii="仿宋" w:hAnsi="仿宋" w:eastAsia="仿宋" w:cs="仿宋"/>
                <w:sz w:val="28"/>
                <w:szCs w:val="28"/>
                <w:highlight w:val="none"/>
              </w:rPr>
              <w:t>确定成交供应商</w:t>
            </w:r>
            <w:bookmarkEnd w:id="348"/>
            <w:bookmarkEnd w:id="349"/>
            <w:bookmarkEnd w:id="350"/>
            <w:bookmarkEnd w:id="351"/>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7AC86F89">
            <w:pPr>
              <w:spacing w:line="240" w:lineRule="auto"/>
              <w:ind w:firstLine="560" w:firstLineChars="200"/>
              <w:jc w:val="left"/>
              <w:rPr>
                <w:rFonts w:hint="eastAsia" w:ascii="仿宋" w:hAnsi="仿宋" w:eastAsia="仿宋" w:cs="仿宋"/>
                <w:sz w:val="28"/>
                <w:szCs w:val="28"/>
                <w:highlight w:val="none"/>
              </w:rPr>
            </w:pPr>
            <w:bookmarkStart w:id="352" w:name="_Toc21612"/>
            <w:bookmarkEnd w:id="352"/>
            <w:bookmarkStart w:id="353" w:name="_Toc26552"/>
            <w:bookmarkEnd w:id="353"/>
            <w:bookmarkStart w:id="354" w:name="_Toc25195"/>
            <w:bookmarkEnd w:id="354"/>
            <w:bookmarkStart w:id="355" w:name="_Toc21775"/>
            <w:bookmarkEnd w:id="355"/>
            <w:bookmarkStart w:id="356" w:name="_Toc144969042"/>
            <w:bookmarkStart w:id="357" w:name="_Toc143449730"/>
            <w:bookmarkStart w:id="358" w:name="_Toc143449008"/>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采购人授权磋商小组确定</w:t>
            </w:r>
            <w:bookmarkEnd w:id="356"/>
            <w:bookmarkEnd w:id="357"/>
            <w:bookmarkEnd w:id="358"/>
          </w:p>
          <w:p w14:paraId="055ECA1A">
            <w:pPr>
              <w:spacing w:line="240" w:lineRule="auto"/>
              <w:ind w:firstLine="560" w:firstLineChars="200"/>
              <w:jc w:val="left"/>
              <w:rPr>
                <w:rFonts w:hint="eastAsia" w:ascii="仿宋" w:hAnsi="仿宋" w:eastAsia="仿宋" w:cs="仿宋"/>
                <w:sz w:val="28"/>
                <w:szCs w:val="28"/>
                <w:highlight w:val="none"/>
              </w:rPr>
            </w:pPr>
            <w:bookmarkStart w:id="359" w:name="_Toc143449009"/>
            <w:bookmarkStart w:id="360" w:name="_Toc144969043"/>
            <w:bookmarkStart w:id="361" w:name="_Toc143449731"/>
            <w:r>
              <w:rPr>
                <w:rFonts w:hint="eastAsia" w:ascii="仿宋" w:hAnsi="仿宋" w:eastAsia="仿宋" w:cs="仿宋"/>
                <w:sz w:val="28"/>
                <w:szCs w:val="28"/>
                <w:highlight w:val="none"/>
              </w:rPr>
              <w:t>□采购人确定</w:t>
            </w:r>
            <w:bookmarkEnd w:id="359"/>
            <w:bookmarkEnd w:id="360"/>
            <w:bookmarkEnd w:id="361"/>
          </w:p>
        </w:tc>
      </w:tr>
      <w:tr w14:paraId="035226A5">
        <w:tblPrEx>
          <w:tblCellMar>
            <w:top w:w="0" w:type="dxa"/>
            <w:left w:w="0" w:type="dxa"/>
            <w:bottom w:w="0" w:type="dxa"/>
            <w:right w:w="0" w:type="dxa"/>
          </w:tblCellMar>
        </w:tblPrEx>
        <w:trPr>
          <w:trHeight w:val="688" w:hRule="atLeast"/>
        </w:trPr>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7137920D">
            <w:pPr>
              <w:pStyle w:val="7"/>
              <w:spacing w:line="240" w:lineRule="auto"/>
              <w:jc w:val="center"/>
              <w:rPr>
                <w:rFonts w:hint="eastAsia" w:ascii="仿宋" w:hAnsi="仿宋" w:eastAsia="仿宋" w:cs="仿宋"/>
                <w:b w:val="0"/>
                <w:sz w:val="28"/>
                <w:szCs w:val="28"/>
                <w:highlight w:val="none"/>
              </w:rPr>
            </w:pPr>
            <w:bookmarkStart w:id="362" w:name="_Toc6908"/>
            <w:r>
              <w:rPr>
                <w:rFonts w:hint="eastAsia" w:ascii="仿宋" w:hAnsi="仿宋" w:eastAsia="仿宋" w:cs="仿宋"/>
                <w:b w:val="0"/>
                <w:sz w:val="28"/>
                <w:szCs w:val="28"/>
                <w:highlight w:val="none"/>
              </w:rPr>
              <w:t>34</w:t>
            </w:r>
            <w:bookmarkEnd w:id="362"/>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4DA65BF8">
            <w:pPr>
              <w:pStyle w:val="7"/>
              <w:spacing w:line="240" w:lineRule="auto"/>
              <w:jc w:val="center"/>
              <w:rPr>
                <w:rFonts w:hint="eastAsia" w:ascii="仿宋" w:hAnsi="仿宋" w:eastAsia="仿宋" w:cs="仿宋"/>
                <w:b w:val="0"/>
                <w:sz w:val="28"/>
                <w:szCs w:val="28"/>
                <w:highlight w:val="none"/>
              </w:rPr>
            </w:pPr>
            <w:bookmarkStart w:id="363" w:name="_Toc12033"/>
            <w:bookmarkStart w:id="364" w:name="_Toc15840"/>
            <w:bookmarkStart w:id="365" w:name="_Toc13978"/>
            <w:r>
              <w:rPr>
                <w:rFonts w:hint="eastAsia" w:ascii="仿宋" w:hAnsi="仿宋" w:eastAsia="仿宋" w:cs="仿宋"/>
                <w:b w:val="0"/>
                <w:sz w:val="28"/>
                <w:szCs w:val="28"/>
                <w:highlight w:val="none"/>
              </w:rPr>
              <w:t>最高限价</w:t>
            </w:r>
            <w:bookmarkEnd w:id="363"/>
            <w:bookmarkEnd w:id="364"/>
            <w:bookmarkEnd w:id="365"/>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65D0956C">
            <w:pPr>
              <w:pStyle w:val="21"/>
              <w:topLinePunct/>
              <w:spacing w:before="156" w:beforeLines="50" w:beforeAutospacing="0" w:after="156" w:afterLines="50" w:afterAutospacing="0" w:line="240" w:lineRule="auto"/>
              <w:ind w:firstLine="280" w:firstLineChars="100"/>
              <w:textAlignment w:val="baseline"/>
              <w:rPr>
                <w:rFonts w:hint="eastAsia" w:ascii="仿宋" w:hAnsi="仿宋" w:eastAsia="仿宋" w:cs="仿宋"/>
                <w:b w:val="0"/>
                <w:sz w:val="28"/>
                <w:szCs w:val="28"/>
                <w:highlight w:val="none"/>
              </w:rPr>
            </w:pPr>
            <w:r>
              <w:rPr>
                <w:rFonts w:hint="eastAsia" w:ascii="仿宋" w:hAnsi="仿宋" w:eastAsia="仿宋" w:cs="仿宋"/>
                <w:b w:val="0"/>
                <w:bCs/>
                <w:kern w:val="0"/>
                <w:sz w:val="28"/>
                <w:szCs w:val="28"/>
                <w:highlight w:val="none"/>
                <w:lang w:val="en-US" w:eastAsia="zh-CN" w:bidi="ar-SA"/>
              </w:rPr>
              <w:t>361155.9元（超过此限价按无效标处理）</w:t>
            </w:r>
          </w:p>
        </w:tc>
      </w:tr>
      <w:tr w14:paraId="472D8959">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549D77C9">
            <w:pPr>
              <w:pStyle w:val="7"/>
              <w:spacing w:line="240" w:lineRule="auto"/>
              <w:jc w:val="center"/>
              <w:rPr>
                <w:rFonts w:hint="eastAsia" w:ascii="仿宋" w:hAnsi="仿宋" w:eastAsia="仿宋" w:cs="仿宋"/>
                <w:b w:val="0"/>
                <w:sz w:val="28"/>
                <w:szCs w:val="28"/>
                <w:highlight w:val="none"/>
                <w:lang w:eastAsia="zh-CN"/>
              </w:rPr>
            </w:pPr>
            <w:bookmarkStart w:id="366" w:name="_Toc2951"/>
            <w:r>
              <w:rPr>
                <w:rFonts w:hint="eastAsia" w:ascii="仿宋" w:hAnsi="仿宋" w:eastAsia="仿宋" w:cs="仿宋"/>
                <w:b w:val="0"/>
                <w:sz w:val="28"/>
                <w:szCs w:val="28"/>
                <w:highlight w:val="none"/>
              </w:rPr>
              <w:t>3</w:t>
            </w:r>
            <w:bookmarkEnd w:id="366"/>
            <w:r>
              <w:rPr>
                <w:rFonts w:hint="eastAsia" w:ascii="仿宋" w:hAnsi="仿宋" w:eastAsia="仿宋" w:cs="仿宋"/>
                <w:b w:val="0"/>
                <w:sz w:val="28"/>
                <w:szCs w:val="28"/>
                <w:highlight w:val="none"/>
                <w:lang w:val="en-US" w:eastAsia="zh-CN"/>
              </w:rPr>
              <w:t>5</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4341E0B1">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询标</w:t>
            </w:r>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39901F47">
            <w:pPr>
              <w:shd w:val="clear" w:color="auto" w:fill="FFFFFF"/>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bCs/>
                <w:kern w:val="0"/>
                <w:sz w:val="28"/>
                <w:szCs w:val="28"/>
                <w:highlight w:val="none"/>
                <w:lang w:val="en-US" w:eastAsia="zh-CN" w:bidi="ar-SA"/>
              </w:rPr>
              <w:t>评标过程中，不要走远。在规定时间内（30分钟）完成答复。如因供应商原因造成未及时回复，供应商自行承担一切后果。如遇询标30分钟内未回复，由磋商小组决定。</w:t>
            </w:r>
          </w:p>
        </w:tc>
      </w:tr>
      <w:tr w14:paraId="0250C1C0">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6889AEE0">
            <w:pPr>
              <w:spacing w:line="240" w:lineRule="auto"/>
              <w:jc w:val="center"/>
              <w:rPr>
                <w:rFonts w:hint="eastAsia" w:ascii="仿宋" w:hAnsi="仿宋" w:eastAsia="仿宋" w:cs="仿宋"/>
                <w:sz w:val="28"/>
                <w:szCs w:val="28"/>
                <w:highlight w:val="none"/>
                <w:lang w:eastAsia="zh-CN"/>
              </w:rPr>
            </w:pPr>
            <w:r>
              <w:rPr>
                <w:rFonts w:hint="eastAsia" w:ascii="仿宋" w:hAnsi="仿宋" w:eastAsia="仿宋" w:cs="仿宋"/>
                <w:bCs/>
                <w:kern w:val="0"/>
                <w:sz w:val="28"/>
                <w:szCs w:val="28"/>
                <w:highlight w:val="none"/>
              </w:rPr>
              <w:t>3</w:t>
            </w:r>
            <w:r>
              <w:rPr>
                <w:rFonts w:hint="eastAsia" w:ascii="仿宋" w:hAnsi="仿宋" w:eastAsia="仿宋" w:cs="仿宋"/>
                <w:bCs/>
                <w:kern w:val="0"/>
                <w:sz w:val="28"/>
                <w:szCs w:val="28"/>
                <w:highlight w:val="none"/>
                <w:lang w:val="en-US" w:eastAsia="zh-CN"/>
              </w:rPr>
              <w:t>6</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67D747E0">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评审原则</w:t>
            </w:r>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5E05A57E">
            <w:pPr>
              <w:pStyle w:val="6"/>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tc>
      </w:tr>
      <w:tr w14:paraId="10BC8F7C">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411954D4">
            <w:pPr>
              <w:spacing w:line="240" w:lineRule="auto"/>
              <w:jc w:val="center"/>
              <w:rPr>
                <w:rFonts w:hint="eastAsia" w:ascii="仿宋" w:hAnsi="仿宋" w:eastAsia="仿宋" w:cs="仿宋"/>
                <w:bCs/>
                <w:kern w:val="0"/>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7</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1E90049C">
            <w:pPr>
              <w:widowControl/>
              <w:spacing w:line="240" w:lineRule="auto"/>
              <w:jc w:val="center"/>
              <w:rPr>
                <w:rFonts w:hint="eastAsia" w:ascii="仿宋" w:hAnsi="仿宋" w:eastAsia="仿宋" w:cs="仿宋"/>
                <w:bCs/>
                <w:kern w:val="0"/>
                <w:sz w:val="28"/>
                <w:szCs w:val="28"/>
                <w:highlight w:val="none"/>
              </w:rPr>
            </w:pPr>
            <w:r>
              <w:rPr>
                <w:rFonts w:hint="eastAsia" w:ascii="仿宋" w:hAnsi="仿宋" w:eastAsia="仿宋" w:cs="仿宋"/>
                <w:sz w:val="28"/>
                <w:szCs w:val="28"/>
                <w:highlight w:val="none"/>
              </w:rPr>
              <w:t>成交通知书发出的形式</w:t>
            </w:r>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6D1CB81F">
            <w:pPr>
              <w:widowControl/>
              <w:spacing w:line="240" w:lineRule="auto"/>
              <w:ind w:firstLine="560" w:firstLineChars="200"/>
              <w:jc w:val="left"/>
              <w:rPr>
                <w:rFonts w:hint="eastAsia" w:ascii="仿宋" w:hAnsi="仿宋" w:eastAsia="仿宋" w:cs="仿宋"/>
                <w:bCs/>
                <w:sz w:val="28"/>
                <w:szCs w:val="28"/>
                <w:highlight w:val="none"/>
              </w:rPr>
            </w:pPr>
            <w:r>
              <w:rPr>
                <w:rStyle w:val="41"/>
                <w:rFonts w:hint="eastAsia" w:ascii="仿宋" w:hAnsi="仿宋" w:eastAsia="仿宋" w:cs="仿宋"/>
                <w:kern w:val="0"/>
                <w:sz w:val="28"/>
                <w:szCs w:val="28"/>
                <w:highlight w:val="none"/>
              </w:rPr>
              <w:t>☑书面 □</w:t>
            </w:r>
            <w:r>
              <w:rPr>
                <w:rStyle w:val="41"/>
                <w:rFonts w:hint="eastAsia" w:ascii="仿宋" w:hAnsi="仿宋" w:eastAsia="仿宋" w:cs="仿宋"/>
                <w:kern w:val="0"/>
                <w:sz w:val="28"/>
                <w:szCs w:val="28"/>
                <w:highlight w:val="none"/>
                <w:lang w:val="en-US"/>
              </w:rPr>
              <w:t>在线发放，</w:t>
            </w:r>
            <w:r>
              <w:rPr>
                <w:rStyle w:val="41"/>
                <w:rFonts w:hint="eastAsia" w:ascii="仿宋" w:hAnsi="仿宋" w:eastAsia="仿宋" w:cs="仿宋"/>
                <w:kern w:val="0"/>
                <w:sz w:val="28"/>
                <w:szCs w:val="28"/>
                <w:highlight w:val="none"/>
              </w:rPr>
              <w:t>数据电文</w:t>
            </w:r>
          </w:p>
        </w:tc>
      </w:tr>
      <w:tr w14:paraId="7AA888DE">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77857C42">
            <w:pPr>
              <w:spacing w:line="24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8</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006FDED4">
            <w:pPr>
              <w:widowControl/>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成交结果公告</w:t>
            </w:r>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23B28080">
            <w:pPr>
              <w:widowControl/>
              <w:spacing w:line="240" w:lineRule="auto"/>
              <w:ind w:firstLine="560" w:firstLineChars="200"/>
              <w:jc w:val="left"/>
              <w:rPr>
                <w:rStyle w:val="41"/>
                <w:rFonts w:hint="eastAsia" w:ascii="仿宋" w:hAnsi="仿宋" w:eastAsia="仿宋" w:cs="仿宋"/>
                <w:kern w:val="0"/>
                <w:sz w:val="28"/>
                <w:szCs w:val="28"/>
                <w:highlight w:val="none"/>
              </w:rPr>
            </w:pPr>
            <w:r>
              <w:rPr>
                <w:rStyle w:val="41"/>
                <w:rFonts w:hint="eastAsia" w:ascii="仿宋" w:hAnsi="仿宋" w:eastAsia="仿宋" w:cs="仿宋"/>
                <w:kern w:val="0"/>
                <w:sz w:val="28"/>
                <w:szCs w:val="28"/>
                <w:highlight w:val="none"/>
              </w:rPr>
              <w:t>公告方式：在发布磋商公告的媒介上发布本项目成交结果公告；</w:t>
            </w:r>
          </w:p>
          <w:p w14:paraId="6684EACF">
            <w:pPr>
              <w:widowControl/>
              <w:spacing w:line="240" w:lineRule="auto"/>
              <w:ind w:firstLine="560" w:firstLineChars="200"/>
              <w:jc w:val="left"/>
              <w:rPr>
                <w:rStyle w:val="41"/>
                <w:rFonts w:hint="eastAsia" w:ascii="仿宋" w:hAnsi="仿宋" w:eastAsia="仿宋" w:cs="仿宋"/>
                <w:kern w:val="0"/>
                <w:sz w:val="28"/>
                <w:szCs w:val="28"/>
                <w:highlight w:val="none"/>
              </w:rPr>
            </w:pPr>
            <w:r>
              <w:rPr>
                <w:rStyle w:val="41"/>
                <w:rFonts w:hint="eastAsia" w:ascii="仿宋" w:hAnsi="仿宋" w:eastAsia="仿宋" w:cs="仿宋"/>
                <w:kern w:val="0"/>
                <w:sz w:val="28"/>
                <w:szCs w:val="28"/>
                <w:highlight w:val="none"/>
              </w:rPr>
              <w:t>公告内容：采购人及采购代理机构的名称、地址、联系方式，项目名称和项目编号，成交人名称、地址和中标金额等。</w:t>
            </w:r>
          </w:p>
          <w:p w14:paraId="70278A46">
            <w:pPr>
              <w:widowControl/>
              <w:spacing w:line="240" w:lineRule="auto"/>
              <w:ind w:firstLine="560" w:firstLineChars="200"/>
              <w:jc w:val="left"/>
              <w:rPr>
                <w:rStyle w:val="41"/>
                <w:rFonts w:hint="eastAsia" w:ascii="仿宋" w:hAnsi="仿宋" w:eastAsia="仿宋" w:cs="仿宋"/>
                <w:kern w:val="0"/>
                <w:sz w:val="28"/>
                <w:szCs w:val="28"/>
                <w:highlight w:val="none"/>
              </w:rPr>
            </w:pPr>
            <w:r>
              <w:rPr>
                <w:rStyle w:val="41"/>
                <w:rFonts w:hint="eastAsia" w:ascii="仿宋" w:hAnsi="仿宋" w:eastAsia="仿宋" w:cs="仿宋"/>
                <w:kern w:val="0"/>
                <w:sz w:val="28"/>
                <w:szCs w:val="28"/>
                <w:highlight w:val="none"/>
              </w:rPr>
              <w:sym w:font="Wingdings 2" w:char="0052"/>
            </w:r>
            <w:r>
              <w:rPr>
                <w:rStyle w:val="41"/>
                <w:rFonts w:hint="eastAsia" w:ascii="仿宋" w:hAnsi="仿宋" w:eastAsia="仿宋" w:cs="仿宋"/>
                <w:kern w:val="0"/>
                <w:sz w:val="28"/>
                <w:szCs w:val="28"/>
                <w:highlight w:val="none"/>
              </w:rPr>
              <w:t>竞争性磋商文件</w:t>
            </w:r>
          </w:p>
          <w:p w14:paraId="00159221">
            <w:pPr>
              <w:widowControl/>
              <w:spacing w:line="240" w:lineRule="auto"/>
              <w:ind w:firstLine="560" w:firstLineChars="200"/>
              <w:jc w:val="left"/>
              <w:rPr>
                <w:rStyle w:val="41"/>
                <w:rFonts w:hint="eastAsia" w:ascii="仿宋" w:hAnsi="仿宋" w:eastAsia="仿宋" w:cs="仿宋"/>
                <w:kern w:val="0"/>
                <w:sz w:val="28"/>
                <w:szCs w:val="28"/>
                <w:highlight w:val="none"/>
              </w:rPr>
            </w:pPr>
            <w:r>
              <w:rPr>
                <w:rStyle w:val="41"/>
                <w:rFonts w:hint="eastAsia" w:ascii="仿宋" w:hAnsi="仿宋" w:eastAsia="仿宋" w:cs="仿宋"/>
                <w:kern w:val="0"/>
                <w:sz w:val="28"/>
                <w:szCs w:val="28"/>
                <w:highlight w:val="none"/>
                <w:lang w:val="en-US"/>
              </w:rPr>
              <w:t>成交结果</w:t>
            </w:r>
            <w:r>
              <w:rPr>
                <w:rStyle w:val="41"/>
                <w:rFonts w:hint="eastAsia" w:ascii="仿宋" w:hAnsi="仿宋" w:eastAsia="仿宋" w:cs="仿宋"/>
                <w:kern w:val="0"/>
                <w:sz w:val="28"/>
                <w:szCs w:val="28"/>
                <w:highlight w:val="none"/>
              </w:rPr>
              <w:t>公告期限：1个工作日。</w:t>
            </w:r>
          </w:p>
        </w:tc>
      </w:tr>
      <w:tr w14:paraId="72F828C9">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23A5FBC7">
            <w:pPr>
              <w:pStyle w:val="7"/>
              <w:spacing w:line="240" w:lineRule="auto"/>
              <w:jc w:val="center"/>
              <w:rPr>
                <w:rFonts w:hint="default"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39</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4E8C3438">
            <w:pPr>
              <w:spacing w:line="240" w:lineRule="auto"/>
              <w:jc w:val="center"/>
              <w:rPr>
                <w:rFonts w:hint="eastAsia" w:ascii="仿宋" w:hAnsi="仿宋" w:eastAsia="仿宋" w:cs="仿宋"/>
                <w:sz w:val="28"/>
                <w:szCs w:val="28"/>
                <w:highlight w:val="none"/>
              </w:rPr>
            </w:pPr>
            <w:r>
              <w:rPr>
                <w:rFonts w:hint="eastAsia" w:ascii="仿宋" w:hAnsi="仿宋" w:eastAsia="仿宋" w:cs="仿宋"/>
                <w:bCs/>
                <w:kern w:val="0"/>
                <w:sz w:val="28"/>
                <w:szCs w:val="28"/>
                <w:highlight w:val="none"/>
              </w:rPr>
              <w:t>合同签订</w:t>
            </w:r>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3C41A466">
            <w:pPr>
              <w:spacing w:line="240" w:lineRule="auto"/>
              <w:ind w:firstLine="560" w:firstLineChars="20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自中标（成交）通知书发出之日起7个工作日内（具体时间、地点见中标（成交）通知书）与采购人在线签订合同。无正当理由不得拒绝或者拖延合同签订。</w:t>
            </w:r>
          </w:p>
        </w:tc>
      </w:tr>
      <w:tr w14:paraId="7CAA385C">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7E851477">
            <w:pPr>
              <w:pStyle w:val="7"/>
              <w:spacing w:line="240" w:lineRule="auto"/>
              <w:jc w:val="center"/>
              <w:rPr>
                <w:rFonts w:hint="eastAsia" w:ascii="仿宋" w:hAnsi="仿宋" w:eastAsia="仿宋" w:cs="仿宋"/>
                <w:b w:val="0"/>
                <w:sz w:val="28"/>
                <w:szCs w:val="28"/>
                <w:highlight w:val="none"/>
                <w:lang w:eastAsia="zh-CN"/>
              </w:rPr>
            </w:pPr>
            <w:bookmarkStart w:id="367" w:name="_Toc21642"/>
            <w:r>
              <w:rPr>
                <w:rFonts w:hint="eastAsia" w:ascii="仿宋" w:hAnsi="仿宋" w:eastAsia="仿宋" w:cs="仿宋"/>
                <w:b w:val="0"/>
                <w:sz w:val="28"/>
                <w:szCs w:val="28"/>
                <w:highlight w:val="none"/>
              </w:rPr>
              <w:t>4</w:t>
            </w:r>
            <w:bookmarkEnd w:id="367"/>
            <w:r>
              <w:rPr>
                <w:rFonts w:hint="eastAsia" w:ascii="仿宋" w:hAnsi="仿宋" w:eastAsia="仿宋" w:cs="仿宋"/>
                <w:b w:val="0"/>
                <w:sz w:val="28"/>
                <w:szCs w:val="28"/>
                <w:highlight w:val="none"/>
                <w:lang w:val="en-US" w:eastAsia="zh-CN"/>
              </w:rPr>
              <w:t>0</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04F22A56">
            <w:pPr>
              <w:pStyle w:val="7"/>
              <w:spacing w:line="240" w:lineRule="auto"/>
              <w:jc w:val="center"/>
              <w:rPr>
                <w:rFonts w:hint="eastAsia" w:ascii="仿宋" w:hAnsi="仿宋" w:eastAsia="仿宋" w:cs="仿宋"/>
                <w:b w:val="0"/>
                <w:sz w:val="28"/>
                <w:szCs w:val="28"/>
                <w:highlight w:val="none"/>
              </w:rPr>
            </w:pPr>
            <w:bookmarkStart w:id="368" w:name="_Toc23705"/>
            <w:r>
              <w:rPr>
                <w:rFonts w:hint="eastAsia" w:ascii="仿宋" w:hAnsi="仿宋" w:eastAsia="仿宋" w:cs="仿宋"/>
                <w:b w:val="0"/>
                <w:sz w:val="28"/>
                <w:szCs w:val="28"/>
                <w:highlight w:val="none"/>
              </w:rPr>
              <w:t>履约担保</w:t>
            </w:r>
            <w:bookmarkEnd w:id="368"/>
          </w:p>
        </w:tc>
        <w:tc>
          <w:tcPr>
            <w:tcW w:w="7132" w:type="dxa"/>
            <w:tcBorders>
              <w:top w:val="single" w:color="auto" w:sz="4" w:space="0"/>
              <w:left w:val="single" w:color="000000" w:sz="4" w:space="0"/>
              <w:bottom w:val="single" w:color="auto" w:sz="4" w:space="0"/>
              <w:right w:val="single" w:color="000000" w:sz="4" w:space="0"/>
            </w:tcBorders>
            <w:shd w:val="clear" w:color="auto" w:fill="auto"/>
          </w:tcPr>
          <w:p w14:paraId="4E89EC9F">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□免收</w:t>
            </w:r>
          </w:p>
          <w:p w14:paraId="102A7D1A">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按下列标准收取：</w:t>
            </w:r>
          </w:p>
          <w:p w14:paraId="5BFE3C07">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1.金额：合同价的</w:t>
            </w:r>
            <w:r>
              <w:rPr>
                <w:rFonts w:hint="eastAsia" w:ascii="仿宋" w:hAnsi="仿宋" w:eastAsia="仿宋" w:cs="仿宋"/>
                <w:bCs/>
                <w:sz w:val="28"/>
                <w:szCs w:val="28"/>
                <w:highlight w:val="none"/>
                <w:u w:val="single"/>
              </w:rPr>
              <w:t xml:space="preserve">  2  </w:t>
            </w:r>
            <w:r>
              <w:rPr>
                <w:rFonts w:hint="eastAsia" w:ascii="仿宋" w:hAnsi="仿宋" w:eastAsia="仿宋" w:cs="仿宋"/>
                <w:bCs/>
                <w:sz w:val="28"/>
                <w:szCs w:val="28"/>
                <w:highlight w:val="none"/>
              </w:rPr>
              <w:t>%。</w:t>
            </w:r>
          </w:p>
          <w:p w14:paraId="114B66CC">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2.履约保证金的形式：保函、保证保险、银行转账、网银支付等方式。</w:t>
            </w:r>
          </w:p>
          <w:p w14:paraId="4CEBBFC4">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注：如采用担保机构担保，全国范围内合法的融资担保公司、应为省级地方金融监督管理局备案的融资担保机构出具的无条件担保均可提供担保，其他非经地方金融监管局批准设立的融资担保公司，个人担保，企业单位，一律不得作为提供担保的依据。</w:t>
            </w:r>
          </w:p>
          <w:p w14:paraId="41E2A483">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3.收取单位：采购人 </w:t>
            </w:r>
          </w:p>
          <w:p w14:paraId="28CA4A4C">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4.递交时间：成交供应商应在中标通知书发出后，合同签订前，按照采购文件规定方式提交履约保证金。否则，采购人可以拒绝签订采购合同。</w:t>
            </w:r>
          </w:p>
          <w:p w14:paraId="02BEFE6D">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5.成交供应商信誉度较好或服务过招标人且口碑较好，经采购人认可，可免收履约保证金。</w:t>
            </w:r>
          </w:p>
          <w:p w14:paraId="4E658E8E">
            <w:pPr>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6.退还：签订政府采购合同时双方友好协商约定。</w:t>
            </w:r>
          </w:p>
        </w:tc>
      </w:tr>
      <w:tr w14:paraId="5BAE9095">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57D3100E">
            <w:pPr>
              <w:pStyle w:val="7"/>
              <w:spacing w:line="240" w:lineRule="auto"/>
              <w:jc w:val="center"/>
              <w:rPr>
                <w:rFonts w:hint="eastAsia" w:ascii="仿宋" w:hAnsi="仿宋" w:eastAsia="仿宋" w:cs="仿宋"/>
                <w:b w:val="0"/>
                <w:sz w:val="28"/>
                <w:szCs w:val="28"/>
                <w:highlight w:val="none"/>
                <w:lang w:eastAsia="zh-CN"/>
              </w:rPr>
            </w:pPr>
            <w:bookmarkStart w:id="369" w:name="_Toc8387"/>
            <w:r>
              <w:rPr>
                <w:rFonts w:hint="eastAsia" w:ascii="仿宋" w:hAnsi="仿宋" w:eastAsia="仿宋" w:cs="仿宋"/>
                <w:b w:val="0"/>
                <w:sz w:val="28"/>
                <w:szCs w:val="28"/>
                <w:highlight w:val="none"/>
              </w:rPr>
              <w:t>4</w:t>
            </w:r>
            <w:bookmarkEnd w:id="369"/>
            <w:r>
              <w:rPr>
                <w:rFonts w:hint="eastAsia" w:ascii="仿宋" w:hAnsi="仿宋" w:eastAsia="仿宋" w:cs="仿宋"/>
                <w:b w:val="0"/>
                <w:sz w:val="28"/>
                <w:szCs w:val="28"/>
                <w:highlight w:val="none"/>
                <w:lang w:val="en-US" w:eastAsia="zh-CN"/>
              </w:rPr>
              <w:t>1</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6A831F1C">
            <w:pPr>
              <w:pStyle w:val="7"/>
              <w:spacing w:line="240" w:lineRule="auto"/>
              <w:jc w:val="center"/>
              <w:rPr>
                <w:rFonts w:hint="eastAsia" w:ascii="仿宋" w:hAnsi="仿宋" w:eastAsia="仿宋" w:cs="仿宋"/>
                <w:b w:val="0"/>
                <w:sz w:val="28"/>
                <w:szCs w:val="28"/>
                <w:highlight w:val="none"/>
              </w:rPr>
            </w:pPr>
            <w:bookmarkStart w:id="370" w:name="_Toc20660"/>
            <w:r>
              <w:rPr>
                <w:rFonts w:hint="eastAsia" w:ascii="仿宋" w:hAnsi="仿宋" w:eastAsia="仿宋" w:cs="仿宋"/>
                <w:b w:val="0"/>
                <w:sz w:val="28"/>
                <w:szCs w:val="28"/>
                <w:highlight w:val="none"/>
                <w:lang w:val="en-US" w:eastAsia="zh-CN"/>
              </w:rPr>
              <w:t>代理</w:t>
            </w:r>
            <w:r>
              <w:rPr>
                <w:rFonts w:hint="eastAsia" w:ascii="仿宋" w:hAnsi="仿宋" w:eastAsia="仿宋" w:cs="仿宋"/>
                <w:b w:val="0"/>
                <w:sz w:val="28"/>
                <w:szCs w:val="28"/>
                <w:highlight w:val="none"/>
              </w:rPr>
              <w:t>服务费</w:t>
            </w:r>
            <w:bookmarkEnd w:id="370"/>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4707A397">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金额：</w:t>
            </w:r>
          </w:p>
          <w:p w14:paraId="68EB3E0D">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□（免收)</w:t>
            </w:r>
          </w:p>
          <w:p w14:paraId="358DD8EC">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（定额收取)：人民币</w:t>
            </w:r>
            <w:r>
              <w:rPr>
                <w:rFonts w:hint="eastAsia" w:ascii="仿宋" w:hAnsi="仿宋" w:eastAsia="仿宋" w:cs="仿宋"/>
                <w:b w:val="0"/>
                <w:bCs w:val="0"/>
                <w:sz w:val="28"/>
                <w:szCs w:val="28"/>
                <w:highlight w:val="none"/>
                <w:u w:val="single"/>
              </w:rPr>
              <w:t xml:space="preserve">     </w:t>
            </w:r>
            <w:r>
              <w:rPr>
                <w:rFonts w:hint="eastAsia" w:ascii="仿宋" w:hAnsi="仿宋" w:eastAsia="仿宋" w:cs="仿宋"/>
                <w:b w:val="0"/>
                <w:bCs w:val="0"/>
                <w:sz w:val="28"/>
                <w:szCs w:val="28"/>
                <w:highlight w:val="none"/>
              </w:rPr>
              <w:t>元</w:t>
            </w:r>
          </w:p>
          <w:p w14:paraId="0EDE9DC8">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sym w:font="Wingdings 2" w:char="0052"/>
            </w:r>
            <w:r>
              <w:rPr>
                <w:rFonts w:hint="eastAsia" w:ascii="仿宋" w:hAnsi="仿宋" w:eastAsia="仿宋" w:cs="仿宋"/>
                <w:b w:val="0"/>
                <w:bCs w:val="0"/>
                <w:sz w:val="28"/>
                <w:szCs w:val="28"/>
                <w:highlight w:val="none"/>
              </w:rPr>
              <w:t>按下列标准收取：</w:t>
            </w:r>
          </w:p>
          <w:tbl>
            <w:tblPr>
              <w:tblStyle w:val="23"/>
              <w:tblW w:w="63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0"/>
              <w:gridCol w:w="3824"/>
            </w:tblGrid>
            <w:tr w14:paraId="6DAE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shd w:val="clear" w:color="auto" w:fill="FFFFFF" w:themeFill="background1"/>
                  <w:vAlign w:val="top"/>
                </w:tcPr>
                <w:p w14:paraId="0C814F02">
                  <w:pPr>
                    <w:pStyle w:val="49"/>
                    <w:spacing w:before="0" w:beforeAutospacing="0" w:after="0" w:afterAutospacing="0" w:line="240" w:lineRule="auto"/>
                    <w:jc w:val="center"/>
                    <w:rPr>
                      <w:rFonts w:hint="eastAsia" w:ascii="仿宋" w:hAnsi="仿宋" w:eastAsia="仿宋" w:cs="仿宋"/>
                      <w:b/>
                      <w:bCs/>
                      <w:sz w:val="28"/>
                      <w:szCs w:val="28"/>
                      <w:highlight w:val="none"/>
                    </w:rPr>
                  </w:pPr>
                  <w:r>
                    <w:rPr>
                      <w:rFonts w:hint="eastAsia" w:ascii="仿宋" w:hAnsi="仿宋" w:eastAsia="仿宋" w:cs="仿宋"/>
                      <w:b w:val="0"/>
                      <w:snapToGrid w:val="0"/>
                      <w:sz w:val="28"/>
                      <w:szCs w:val="28"/>
                      <w:highlight w:val="none"/>
                    </w:rPr>
                    <w:t>中标金额（万元）</w:t>
                  </w:r>
                </w:p>
              </w:tc>
              <w:tc>
                <w:tcPr>
                  <w:tcW w:w="3824" w:type="dxa"/>
                  <w:shd w:val="clear" w:color="auto" w:fill="FFFFFF" w:themeFill="background1"/>
                  <w:vAlign w:val="top"/>
                </w:tcPr>
                <w:p w14:paraId="29F08D28">
                  <w:pPr>
                    <w:pStyle w:val="49"/>
                    <w:spacing w:before="0" w:beforeAutospacing="0" w:after="0" w:afterAutospacing="0" w:line="240" w:lineRule="auto"/>
                    <w:jc w:val="center"/>
                    <w:rPr>
                      <w:rFonts w:hint="eastAsia" w:ascii="仿宋" w:hAnsi="仿宋" w:eastAsia="仿宋" w:cs="仿宋"/>
                      <w:b/>
                      <w:bCs/>
                      <w:sz w:val="28"/>
                      <w:szCs w:val="28"/>
                      <w:highlight w:val="none"/>
                    </w:rPr>
                  </w:pPr>
                  <w:r>
                    <w:rPr>
                      <w:rFonts w:hint="eastAsia" w:ascii="仿宋" w:hAnsi="仿宋" w:eastAsia="仿宋" w:cs="仿宋"/>
                      <w:b w:val="0"/>
                      <w:snapToGrid w:val="0"/>
                      <w:sz w:val="28"/>
                      <w:szCs w:val="28"/>
                      <w:highlight w:val="none"/>
                    </w:rPr>
                    <w:t>工程</w:t>
                  </w:r>
                </w:p>
              </w:tc>
            </w:tr>
            <w:tr w14:paraId="09E5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vAlign w:val="top"/>
                </w:tcPr>
                <w:p w14:paraId="7683EED1">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100以下</w:t>
                  </w:r>
                </w:p>
              </w:tc>
              <w:tc>
                <w:tcPr>
                  <w:tcW w:w="3824" w:type="dxa"/>
                  <w:vAlign w:val="top"/>
                </w:tcPr>
                <w:p w14:paraId="2B439A5F">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r>
            <w:tr w14:paraId="4DE7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vAlign w:val="top"/>
                </w:tcPr>
                <w:p w14:paraId="1939792C">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100～500</w:t>
                  </w:r>
                </w:p>
              </w:tc>
              <w:tc>
                <w:tcPr>
                  <w:tcW w:w="3824" w:type="dxa"/>
                  <w:vAlign w:val="top"/>
                </w:tcPr>
                <w:p w14:paraId="11C0E229">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0.7</w:t>
                  </w:r>
                  <w:r>
                    <w:rPr>
                      <w:rFonts w:hint="eastAsia" w:ascii="仿宋" w:hAnsi="仿宋" w:eastAsia="仿宋" w:cs="仿宋"/>
                      <w:b w:val="0"/>
                      <w:bCs w:val="0"/>
                      <w:sz w:val="28"/>
                      <w:szCs w:val="28"/>
                      <w:highlight w:val="none"/>
                    </w:rPr>
                    <w:t>%</w:t>
                  </w:r>
                </w:p>
              </w:tc>
            </w:tr>
            <w:tr w14:paraId="5638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vAlign w:val="top"/>
                </w:tcPr>
                <w:p w14:paraId="499A287B">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500～1000</w:t>
                  </w:r>
                </w:p>
              </w:tc>
              <w:tc>
                <w:tcPr>
                  <w:tcW w:w="3824" w:type="dxa"/>
                  <w:vAlign w:val="top"/>
                </w:tcPr>
                <w:p w14:paraId="4228C0DB">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0.55</w:t>
                  </w:r>
                  <w:r>
                    <w:rPr>
                      <w:rFonts w:hint="eastAsia" w:ascii="仿宋" w:hAnsi="仿宋" w:eastAsia="仿宋" w:cs="仿宋"/>
                      <w:b w:val="0"/>
                      <w:bCs w:val="0"/>
                      <w:sz w:val="28"/>
                      <w:szCs w:val="28"/>
                      <w:highlight w:val="none"/>
                    </w:rPr>
                    <w:t>%</w:t>
                  </w:r>
                </w:p>
              </w:tc>
            </w:tr>
            <w:tr w14:paraId="7FA4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vAlign w:val="top"/>
                </w:tcPr>
                <w:p w14:paraId="69FAB9DB">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1000～5000</w:t>
                  </w:r>
                </w:p>
              </w:tc>
              <w:tc>
                <w:tcPr>
                  <w:tcW w:w="3824" w:type="dxa"/>
                  <w:vAlign w:val="top"/>
                </w:tcPr>
                <w:p w14:paraId="42D22D4C">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0.35</w:t>
                  </w:r>
                  <w:r>
                    <w:rPr>
                      <w:rFonts w:hint="eastAsia" w:ascii="仿宋" w:hAnsi="仿宋" w:eastAsia="仿宋" w:cs="仿宋"/>
                      <w:b w:val="0"/>
                      <w:bCs w:val="0"/>
                      <w:sz w:val="28"/>
                      <w:szCs w:val="28"/>
                      <w:highlight w:val="none"/>
                    </w:rPr>
                    <w:t>%</w:t>
                  </w:r>
                </w:p>
              </w:tc>
            </w:tr>
            <w:tr w14:paraId="44B2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vAlign w:val="top"/>
                </w:tcPr>
                <w:p w14:paraId="6146BF2A">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5000～10000</w:t>
                  </w:r>
                </w:p>
              </w:tc>
              <w:tc>
                <w:tcPr>
                  <w:tcW w:w="3824" w:type="dxa"/>
                  <w:vAlign w:val="top"/>
                </w:tcPr>
                <w:p w14:paraId="3C7665C6">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0.2</w:t>
                  </w:r>
                  <w:r>
                    <w:rPr>
                      <w:rFonts w:hint="eastAsia" w:ascii="仿宋" w:hAnsi="仿宋" w:eastAsia="仿宋" w:cs="仿宋"/>
                      <w:b w:val="0"/>
                      <w:bCs w:val="0"/>
                      <w:sz w:val="28"/>
                      <w:szCs w:val="28"/>
                      <w:highlight w:val="none"/>
                    </w:rPr>
                    <w:t>%</w:t>
                  </w:r>
                </w:p>
              </w:tc>
            </w:tr>
            <w:tr w14:paraId="718B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550" w:type="dxa"/>
                  <w:vAlign w:val="top"/>
                </w:tcPr>
                <w:p w14:paraId="4EBF9802">
                  <w:pPr>
                    <w:pStyle w:val="49"/>
                    <w:spacing w:before="0" w:beforeAutospacing="0" w:after="0" w:afterAutospacing="0" w:line="24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10000～</w:t>
                  </w:r>
                  <w:r>
                    <w:rPr>
                      <w:rFonts w:hint="eastAsia" w:ascii="仿宋" w:hAnsi="仿宋" w:eastAsia="仿宋" w:cs="仿宋"/>
                      <w:b w:val="0"/>
                      <w:bCs w:val="0"/>
                      <w:sz w:val="28"/>
                      <w:szCs w:val="28"/>
                      <w:highlight w:val="none"/>
                      <w:lang w:val="en-US" w:eastAsia="zh-CN"/>
                    </w:rPr>
                    <w:t>10</w:t>
                  </w:r>
                  <w:r>
                    <w:rPr>
                      <w:rFonts w:hint="eastAsia" w:ascii="仿宋" w:hAnsi="仿宋" w:eastAsia="仿宋" w:cs="仿宋"/>
                      <w:b w:val="0"/>
                      <w:bCs w:val="0"/>
                      <w:sz w:val="28"/>
                      <w:szCs w:val="28"/>
                      <w:highlight w:val="none"/>
                    </w:rPr>
                    <w:t>0000</w:t>
                  </w:r>
                </w:p>
              </w:tc>
              <w:tc>
                <w:tcPr>
                  <w:tcW w:w="3824" w:type="dxa"/>
                  <w:vAlign w:val="top"/>
                </w:tcPr>
                <w:p w14:paraId="7D8E2D9D">
                  <w:pPr>
                    <w:pStyle w:val="49"/>
                    <w:spacing w:before="0" w:beforeAutospacing="0" w:after="0" w:afterAutospacing="0" w:line="240" w:lineRule="auto"/>
                    <w:ind w:firstLine="560" w:firstLineChars="20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0.05%</w:t>
                  </w:r>
                </w:p>
              </w:tc>
            </w:tr>
          </w:tbl>
          <w:p w14:paraId="1C7DE181">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招标代理服务收费按差额定率累进法计算。</w:t>
            </w:r>
          </w:p>
          <w:p w14:paraId="6A634876">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代理服务费收费标准</w:t>
            </w:r>
            <w:r>
              <w:rPr>
                <w:rFonts w:hint="eastAsia" w:ascii="仿宋" w:hAnsi="仿宋" w:eastAsia="仿宋" w:cs="仿宋"/>
                <w:b w:val="0"/>
                <w:bCs w:val="0"/>
                <w:sz w:val="28"/>
                <w:szCs w:val="28"/>
                <w:highlight w:val="none"/>
                <w:lang w:eastAsia="zh-CN"/>
              </w:rPr>
              <w:t>：</w:t>
            </w:r>
          </w:p>
          <w:p w14:paraId="40F40067">
            <w:pPr>
              <w:pStyle w:val="49"/>
              <w:numPr>
                <w:ilvl w:val="0"/>
                <w:numId w:val="1"/>
              </w:numPr>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如中标价在100万-500万，则代理费=100万元×1% +（中标价－100万元）×0.</w:t>
            </w: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rPr>
              <w:t>%；</w:t>
            </w:r>
          </w:p>
          <w:p w14:paraId="602757BD">
            <w:pPr>
              <w:pStyle w:val="49"/>
              <w:numPr>
                <w:ilvl w:val="0"/>
                <w:numId w:val="1"/>
              </w:numPr>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如中标价在100万以内，则代理费=中标价×1% </w:t>
            </w:r>
            <w:r>
              <w:rPr>
                <w:rFonts w:hint="eastAsia" w:ascii="仿宋" w:hAnsi="仿宋" w:eastAsia="仿宋" w:cs="仿宋"/>
                <w:b w:val="0"/>
                <w:bCs w:val="0"/>
                <w:sz w:val="28"/>
                <w:szCs w:val="28"/>
                <w:highlight w:val="none"/>
                <w:lang w:eastAsia="zh-CN"/>
              </w:rPr>
              <w:t>；</w:t>
            </w:r>
          </w:p>
          <w:p w14:paraId="02830615">
            <w:pPr>
              <w:pStyle w:val="49"/>
              <w:numPr>
                <w:ilvl w:val="0"/>
                <w:numId w:val="1"/>
              </w:numPr>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如代理费计算低于3000元的按3000元支付</w:t>
            </w:r>
            <w:r>
              <w:rPr>
                <w:rFonts w:hint="eastAsia" w:ascii="仿宋" w:hAnsi="仿宋" w:eastAsia="仿宋" w:cs="仿宋"/>
                <w:b w:val="0"/>
                <w:bCs w:val="0"/>
                <w:sz w:val="28"/>
                <w:szCs w:val="28"/>
                <w:highlight w:val="none"/>
                <w:lang w:eastAsia="zh-CN"/>
              </w:rPr>
              <w:t>。</w:t>
            </w:r>
          </w:p>
          <w:p w14:paraId="65D4DB63">
            <w:pPr>
              <w:pStyle w:val="49"/>
              <w:numPr>
                <w:ilvl w:val="0"/>
                <w:numId w:val="0"/>
              </w:numPr>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rPr>
              <w:t>支付方式：</w:t>
            </w:r>
            <w:r>
              <w:rPr>
                <w:rFonts w:hint="eastAsia" w:ascii="仿宋" w:hAnsi="仿宋" w:eastAsia="仿宋" w:cs="仿宋"/>
                <w:b w:val="0"/>
                <w:bCs w:val="0"/>
                <w:sz w:val="28"/>
                <w:szCs w:val="28"/>
                <w:highlight w:val="none"/>
                <w:u w:val="none"/>
              </w:rPr>
              <w:t>转账或现金</w:t>
            </w:r>
            <w:r>
              <w:rPr>
                <w:rFonts w:hint="eastAsia" w:ascii="仿宋" w:hAnsi="仿宋" w:eastAsia="仿宋" w:cs="仿宋"/>
                <w:b w:val="0"/>
                <w:bCs w:val="0"/>
                <w:sz w:val="28"/>
                <w:szCs w:val="28"/>
                <w:highlight w:val="none"/>
                <w:u w:val="none"/>
                <w:lang w:eastAsia="zh-CN"/>
              </w:rPr>
              <w:t>，</w:t>
            </w:r>
            <w:r>
              <w:rPr>
                <w:rFonts w:hint="eastAsia" w:ascii="仿宋" w:hAnsi="仿宋" w:eastAsia="仿宋" w:cs="仿宋"/>
                <w:b w:val="0"/>
                <w:bCs w:val="0"/>
                <w:sz w:val="28"/>
                <w:szCs w:val="28"/>
                <w:highlight w:val="none"/>
              </w:rPr>
              <w:t>代理费用由</w:t>
            </w:r>
            <w:r>
              <w:rPr>
                <w:rFonts w:hint="eastAsia" w:ascii="仿宋" w:hAnsi="仿宋" w:eastAsia="仿宋" w:cs="仿宋"/>
                <w:b w:val="0"/>
                <w:bCs w:val="0"/>
                <w:sz w:val="28"/>
                <w:szCs w:val="28"/>
                <w:highlight w:val="none"/>
                <w:lang w:val="en-US" w:eastAsia="zh-CN"/>
              </w:rPr>
              <w:t>成交供应商</w:t>
            </w:r>
            <w:r>
              <w:rPr>
                <w:rFonts w:hint="eastAsia" w:ascii="仿宋" w:hAnsi="仿宋" w:eastAsia="仿宋" w:cs="仿宋"/>
                <w:b w:val="0"/>
                <w:bCs w:val="0"/>
                <w:sz w:val="28"/>
                <w:szCs w:val="28"/>
                <w:highlight w:val="none"/>
              </w:rPr>
              <w:t>签订合同前一次性支付给代理机构。</w:t>
            </w:r>
          </w:p>
          <w:p w14:paraId="7CB8DAD3">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3、收取单位：</w:t>
            </w:r>
            <w:r>
              <w:rPr>
                <w:rFonts w:hint="eastAsia" w:ascii="仿宋" w:hAnsi="仿宋" w:eastAsia="仿宋" w:cs="仿宋"/>
                <w:b w:val="0"/>
                <w:bCs w:val="0"/>
                <w:sz w:val="28"/>
                <w:szCs w:val="28"/>
                <w:highlight w:val="none"/>
                <w:u w:val="single"/>
                <w:lang w:eastAsia="zh-CN"/>
              </w:rPr>
              <w:t>安徽泓昌建设项目管理有限公司</w:t>
            </w:r>
            <w:r>
              <w:rPr>
                <w:rFonts w:hint="eastAsia" w:ascii="仿宋" w:hAnsi="仿宋" w:eastAsia="仿宋" w:cs="仿宋"/>
                <w:b w:val="0"/>
                <w:bCs w:val="0"/>
                <w:sz w:val="28"/>
                <w:szCs w:val="28"/>
                <w:highlight w:val="none"/>
                <w:u w:val="single"/>
                <w:lang w:val="en-US" w:eastAsia="zh-CN"/>
              </w:rPr>
              <w:t xml:space="preserve"> </w:t>
            </w:r>
          </w:p>
          <w:p w14:paraId="588823BA">
            <w:pPr>
              <w:pStyle w:val="49"/>
              <w:spacing w:before="0" w:beforeAutospacing="0" w:after="0" w:afterAutospacing="0"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4、递交时间：</w:t>
            </w:r>
            <w:r>
              <w:rPr>
                <w:rFonts w:hint="eastAsia" w:ascii="仿宋" w:hAnsi="仿宋" w:eastAsia="仿宋" w:cs="仿宋"/>
                <w:b w:val="0"/>
                <w:bCs w:val="0"/>
                <w:sz w:val="28"/>
                <w:szCs w:val="28"/>
                <w:highlight w:val="none"/>
                <w:u w:val="single"/>
              </w:rPr>
              <w:t>公示结束后合同公开前</w:t>
            </w:r>
          </w:p>
        </w:tc>
      </w:tr>
      <w:tr w14:paraId="2C97805D">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327AEF5A">
            <w:pPr>
              <w:pStyle w:val="7"/>
              <w:spacing w:line="240" w:lineRule="auto"/>
              <w:jc w:val="center"/>
              <w:rPr>
                <w:rFonts w:hint="eastAsia" w:ascii="仿宋" w:hAnsi="仿宋" w:eastAsia="仿宋" w:cs="仿宋"/>
                <w:b w:val="0"/>
                <w:sz w:val="28"/>
                <w:szCs w:val="28"/>
                <w:highlight w:val="none"/>
                <w:lang w:eastAsia="zh-CN"/>
              </w:rPr>
            </w:pPr>
            <w:bookmarkStart w:id="371" w:name="_Toc22340"/>
            <w:r>
              <w:rPr>
                <w:rFonts w:hint="eastAsia" w:ascii="仿宋" w:hAnsi="仿宋" w:eastAsia="仿宋" w:cs="仿宋"/>
                <w:b w:val="0"/>
                <w:sz w:val="28"/>
                <w:szCs w:val="28"/>
                <w:highlight w:val="none"/>
              </w:rPr>
              <w:t>4</w:t>
            </w:r>
            <w:bookmarkEnd w:id="371"/>
            <w:r>
              <w:rPr>
                <w:rFonts w:hint="eastAsia" w:ascii="仿宋" w:hAnsi="仿宋" w:eastAsia="仿宋" w:cs="仿宋"/>
                <w:b w:val="0"/>
                <w:sz w:val="28"/>
                <w:szCs w:val="28"/>
                <w:highlight w:val="none"/>
                <w:lang w:val="en-US" w:eastAsia="zh-CN"/>
              </w:rPr>
              <w:t>2</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560115B0">
            <w:pPr>
              <w:pStyle w:val="7"/>
              <w:spacing w:line="240" w:lineRule="auto"/>
              <w:jc w:val="center"/>
              <w:rPr>
                <w:rFonts w:hint="eastAsia" w:ascii="仿宋" w:hAnsi="仿宋" w:eastAsia="仿宋" w:cs="仿宋"/>
                <w:b w:val="0"/>
                <w:sz w:val="28"/>
                <w:szCs w:val="28"/>
                <w:highlight w:val="none"/>
              </w:rPr>
            </w:pPr>
            <w:bookmarkStart w:id="372" w:name="_Toc7517"/>
            <w:bookmarkStart w:id="373" w:name="_Toc23002"/>
            <w:bookmarkStart w:id="374" w:name="_Toc2629"/>
            <w:r>
              <w:rPr>
                <w:rFonts w:hint="eastAsia" w:ascii="仿宋" w:hAnsi="仿宋" w:eastAsia="仿宋" w:cs="仿宋"/>
                <w:b w:val="0"/>
                <w:sz w:val="28"/>
                <w:szCs w:val="28"/>
                <w:highlight w:val="none"/>
              </w:rPr>
              <w:t>付款方式</w:t>
            </w:r>
            <w:bookmarkEnd w:id="372"/>
            <w:bookmarkEnd w:id="373"/>
            <w:bookmarkEnd w:id="374"/>
          </w:p>
        </w:tc>
        <w:tc>
          <w:tcPr>
            <w:tcW w:w="7132" w:type="dxa"/>
            <w:tcBorders>
              <w:top w:val="single" w:color="auto" w:sz="4" w:space="0"/>
              <w:left w:val="single" w:color="000000" w:sz="4" w:space="0"/>
              <w:bottom w:val="single" w:color="auto" w:sz="4" w:space="0"/>
              <w:right w:val="single" w:color="000000" w:sz="4" w:space="0"/>
            </w:tcBorders>
            <w:shd w:val="clear" w:color="auto" w:fill="auto"/>
          </w:tcPr>
          <w:p w14:paraId="163AB0A5">
            <w:pPr>
              <w:spacing w:line="240" w:lineRule="auto"/>
              <w:ind w:firstLine="840" w:firstLineChars="300"/>
              <w:jc w:val="both"/>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合同签订确定后采购人按工程进度进行付款，供应商完成总工程量的50%</w:t>
            </w:r>
            <w:r>
              <w:rPr>
                <w:rFonts w:hint="eastAsia" w:ascii="仿宋" w:hAnsi="仿宋" w:eastAsia="仿宋" w:cs="仿宋"/>
                <w:kern w:val="1"/>
                <w:sz w:val="28"/>
                <w:szCs w:val="28"/>
                <w:highlight w:val="none"/>
                <w:lang w:val="en-US" w:eastAsia="zh-CN"/>
              </w:rPr>
              <w:t>（木工工程全部完工、墙面施工人员进场）</w:t>
            </w:r>
            <w:r>
              <w:rPr>
                <w:rFonts w:hint="eastAsia" w:ascii="仿宋" w:hAnsi="仿宋" w:eastAsia="仿宋" w:cs="仿宋"/>
                <w:sz w:val="28"/>
                <w:szCs w:val="28"/>
                <w:highlight w:val="none"/>
                <w:lang w:val="en-US" w:eastAsia="zh-CN"/>
              </w:rPr>
              <w:t>后，采购人</w:t>
            </w:r>
            <w:r>
              <w:rPr>
                <w:rFonts w:hint="default" w:ascii="仿宋" w:hAnsi="仿宋" w:eastAsia="仿宋" w:cs="仿宋"/>
                <w:sz w:val="28"/>
                <w:szCs w:val="28"/>
                <w:highlight w:val="none"/>
                <w:lang w:val="en-US"/>
              </w:rPr>
              <w:t>支付合同价款的</w:t>
            </w:r>
            <w:r>
              <w:rPr>
                <w:rFonts w:hint="eastAsia" w:ascii="仿宋" w:hAnsi="仿宋" w:eastAsia="仿宋" w:cs="仿宋"/>
                <w:sz w:val="28"/>
                <w:szCs w:val="28"/>
                <w:highlight w:val="none"/>
                <w:lang w:val="en-US" w:eastAsia="zh-CN"/>
              </w:rPr>
              <w:t>5</w:t>
            </w:r>
            <w:r>
              <w:rPr>
                <w:rFonts w:hint="default" w:ascii="仿宋" w:hAnsi="仿宋" w:eastAsia="仿宋" w:cs="仿宋"/>
                <w:sz w:val="28"/>
                <w:szCs w:val="28"/>
                <w:highlight w:val="none"/>
                <w:lang w:val="en-US"/>
              </w:rPr>
              <w:t>0%</w:t>
            </w:r>
            <w:r>
              <w:rPr>
                <w:rFonts w:hint="eastAsia" w:ascii="仿宋" w:hAnsi="仿宋" w:eastAsia="仿宋" w:cs="仿宋"/>
                <w:sz w:val="28"/>
                <w:szCs w:val="28"/>
                <w:highlight w:val="none"/>
                <w:lang w:val="en-US" w:eastAsia="zh-CN"/>
              </w:rPr>
              <w:t>；</w:t>
            </w:r>
            <w:r>
              <w:rPr>
                <w:rFonts w:hint="default" w:ascii="仿宋" w:hAnsi="仿宋" w:eastAsia="仿宋" w:cs="仿宋"/>
                <w:sz w:val="28"/>
                <w:szCs w:val="28"/>
                <w:highlight w:val="none"/>
                <w:lang w:val="en-US"/>
              </w:rPr>
              <w:t>供应商在完成工程并验收合格后，支付合同价款的100%。同时供应商应交付合同总价款的3%作质保金（质保金可以为银行、保险公司、担保公司等金融机构出具的保函或其他担保措施，支持电子、纸质形式），待质保期满后无质量问题一次性退回质保金。</w:t>
            </w:r>
          </w:p>
        </w:tc>
      </w:tr>
      <w:tr w14:paraId="021DAAC9">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782BE47B">
            <w:pPr>
              <w:pStyle w:val="7"/>
              <w:spacing w:line="240" w:lineRule="auto"/>
              <w:jc w:val="center"/>
              <w:rPr>
                <w:rFonts w:hint="eastAsia" w:ascii="仿宋" w:hAnsi="仿宋" w:eastAsia="仿宋" w:cs="仿宋"/>
                <w:b w:val="0"/>
                <w:sz w:val="28"/>
                <w:szCs w:val="28"/>
                <w:highlight w:val="none"/>
                <w:lang w:eastAsia="zh-CN"/>
              </w:rPr>
            </w:pPr>
            <w:bookmarkStart w:id="375" w:name="_Toc9960"/>
            <w:r>
              <w:rPr>
                <w:rFonts w:hint="eastAsia" w:ascii="仿宋" w:hAnsi="仿宋" w:eastAsia="仿宋" w:cs="仿宋"/>
                <w:b w:val="0"/>
                <w:sz w:val="28"/>
                <w:szCs w:val="28"/>
                <w:highlight w:val="none"/>
              </w:rPr>
              <w:t>4</w:t>
            </w:r>
            <w:bookmarkEnd w:id="375"/>
            <w:r>
              <w:rPr>
                <w:rFonts w:hint="eastAsia" w:ascii="仿宋" w:hAnsi="仿宋" w:eastAsia="仿宋" w:cs="仿宋"/>
                <w:b w:val="0"/>
                <w:sz w:val="28"/>
                <w:szCs w:val="28"/>
                <w:highlight w:val="none"/>
                <w:lang w:val="en-US" w:eastAsia="zh-CN"/>
              </w:rPr>
              <w:t>3</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180F5920">
            <w:pPr>
              <w:spacing w:line="240" w:lineRule="auto"/>
              <w:jc w:val="center"/>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信誉要求</w:t>
            </w:r>
          </w:p>
        </w:tc>
        <w:tc>
          <w:tcPr>
            <w:tcW w:w="7132" w:type="dxa"/>
            <w:tcBorders>
              <w:top w:val="single" w:color="auto" w:sz="4" w:space="0"/>
              <w:left w:val="single" w:color="000000" w:sz="4" w:space="0"/>
              <w:bottom w:val="single" w:color="auto" w:sz="4" w:space="0"/>
              <w:right w:val="single" w:color="000000" w:sz="4" w:space="0"/>
            </w:tcBorders>
            <w:shd w:val="clear" w:color="auto" w:fill="auto"/>
            <w:vAlign w:val="center"/>
          </w:tcPr>
          <w:p w14:paraId="0072EBC5">
            <w:pPr>
              <w:spacing w:line="240" w:lineRule="auto"/>
              <w:ind w:firstLine="560" w:firstLineChars="200"/>
              <w:jc w:val="left"/>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信誉要求：供应商按照要求提供网站的信誉查询截图或提供承诺书。</w:t>
            </w:r>
          </w:p>
          <w:p w14:paraId="20AD7475">
            <w:pPr>
              <w:spacing w:line="240" w:lineRule="auto"/>
              <w:ind w:firstLine="560" w:firstLineChars="200"/>
              <w:jc w:val="left"/>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14:paraId="2A2D4C86">
            <w:pPr>
              <w:spacing w:line="240" w:lineRule="auto"/>
              <w:ind w:firstLine="560" w:firstLineChars="200"/>
              <w:jc w:val="left"/>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2.在投标截止时间前，未被国家市场监督管理部门在国家企业信用信息公示系统（www.gsxt.gov.cn）中列入严重违法失信企业名单。（可提供供应商在国家企业信用信息公示系统网页查询截图，严重违法失信一栏中无不良记录）。</w:t>
            </w:r>
          </w:p>
          <w:p w14:paraId="75379F91">
            <w:pPr>
              <w:spacing w:line="240" w:lineRule="auto"/>
              <w:ind w:firstLine="560" w:firstLineChars="200"/>
              <w:jc w:val="left"/>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3.在投标截止时间前，未被全国建筑市场监管公共服务平台（jzsc.mohurd.gov.cn）列入“黑名单记录”（可提供全国建筑市场监管公共服务平台“黑名单记录”里的企业查询网页截图）。</w:t>
            </w:r>
          </w:p>
          <w:p w14:paraId="593664E5">
            <w:pPr>
              <w:spacing w:line="240" w:lineRule="auto"/>
              <w:ind w:firstLine="560" w:firstLineChars="200"/>
              <w:jc w:val="left"/>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4.在投标截止时间前，未被中国政府采购网（www.ccgp.gov.cn）列入“政府采购严重违法失信行为记录名单”（可提供中国政府采购网政府采购严重违法失信行为记录名单企业查询网页截图，或者“中国执行信息公开网（</w:t>
            </w:r>
            <w:r>
              <w:rPr>
                <w:rFonts w:hint="eastAsia" w:ascii="仿宋" w:hAnsi="仿宋" w:eastAsia="仿宋" w:cs="仿宋"/>
                <w:bCs/>
                <w:kern w:val="0"/>
                <w:sz w:val="28"/>
                <w:szCs w:val="28"/>
                <w:highlight w:val="none"/>
              </w:rPr>
              <w:fldChar w:fldCharType="begin"/>
            </w:r>
            <w:r>
              <w:rPr>
                <w:rFonts w:hint="eastAsia" w:ascii="仿宋" w:hAnsi="仿宋" w:eastAsia="仿宋" w:cs="仿宋"/>
                <w:bCs/>
                <w:kern w:val="0"/>
                <w:sz w:val="28"/>
                <w:szCs w:val="28"/>
                <w:highlight w:val="none"/>
              </w:rPr>
              <w:instrText xml:space="preserve"> HYPERLINK "http://zxgk.court.gov.cn/" </w:instrText>
            </w:r>
            <w:r>
              <w:rPr>
                <w:rFonts w:hint="eastAsia" w:ascii="仿宋" w:hAnsi="仿宋" w:eastAsia="仿宋" w:cs="仿宋"/>
                <w:bCs/>
                <w:kern w:val="0"/>
                <w:sz w:val="28"/>
                <w:szCs w:val="28"/>
                <w:highlight w:val="none"/>
              </w:rPr>
              <w:fldChar w:fldCharType="separate"/>
            </w:r>
            <w:r>
              <w:rPr>
                <w:rFonts w:hint="eastAsia" w:ascii="仿宋" w:hAnsi="仿宋" w:eastAsia="仿宋" w:cs="仿宋"/>
                <w:bCs/>
                <w:kern w:val="0"/>
                <w:sz w:val="28"/>
                <w:szCs w:val="28"/>
                <w:highlight w:val="none"/>
              </w:rPr>
              <w:t>http://zxgk.court.gov.cn/</w:t>
            </w:r>
            <w:r>
              <w:rPr>
                <w:rFonts w:hint="eastAsia" w:ascii="仿宋" w:hAnsi="仿宋" w:eastAsia="仿宋" w:cs="仿宋"/>
                <w:bCs/>
                <w:kern w:val="0"/>
                <w:sz w:val="28"/>
                <w:szCs w:val="28"/>
                <w:highlight w:val="none"/>
              </w:rPr>
              <w:fldChar w:fldCharType="end"/>
            </w:r>
            <w:r>
              <w:rPr>
                <w:rFonts w:hint="eastAsia" w:ascii="仿宋" w:hAnsi="仿宋" w:eastAsia="仿宋" w:cs="仿宋"/>
                <w:bCs/>
                <w:kern w:val="0"/>
                <w:sz w:val="28"/>
                <w:szCs w:val="28"/>
                <w:highlight w:val="none"/>
              </w:rPr>
              <w:t>）”－“信用中国”－“信用服务”－“政府采购严重违法失信行为记录名单”的网页查询截图）。</w:t>
            </w:r>
          </w:p>
        </w:tc>
      </w:tr>
      <w:tr w14:paraId="7D1B9872">
        <w:tblPrEx>
          <w:tblCellMar>
            <w:top w:w="0" w:type="dxa"/>
            <w:left w:w="0" w:type="dxa"/>
            <w:bottom w:w="0" w:type="dxa"/>
            <w:right w:w="0" w:type="dxa"/>
          </w:tblCellMar>
        </w:tblPrEx>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23D9A357">
            <w:pPr>
              <w:spacing w:line="24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4</w:t>
            </w:r>
          </w:p>
        </w:tc>
        <w:tc>
          <w:tcPr>
            <w:tcW w:w="2023" w:type="dxa"/>
            <w:tcBorders>
              <w:top w:val="single" w:color="auto" w:sz="4" w:space="0"/>
              <w:left w:val="single" w:color="000000" w:sz="4" w:space="0"/>
              <w:bottom w:val="single" w:color="auto" w:sz="4" w:space="0"/>
              <w:right w:val="single" w:color="000000" w:sz="4" w:space="0"/>
            </w:tcBorders>
            <w:shd w:val="clear" w:color="auto" w:fill="auto"/>
            <w:vAlign w:val="center"/>
          </w:tcPr>
          <w:p w14:paraId="66BFA002">
            <w:pPr>
              <w:spacing w:line="240" w:lineRule="auto"/>
              <w:jc w:val="center"/>
              <w:rPr>
                <w:rFonts w:hint="eastAsia" w:ascii="仿宋" w:hAnsi="仿宋" w:eastAsia="仿宋" w:cs="仿宋"/>
                <w:bCs/>
                <w:sz w:val="28"/>
                <w:szCs w:val="28"/>
                <w:highlight w:val="none"/>
              </w:rPr>
            </w:pPr>
            <w:r>
              <w:rPr>
                <w:rFonts w:hint="eastAsia" w:ascii="仿宋" w:hAnsi="仿宋" w:eastAsia="仿宋" w:cs="仿宋"/>
                <w:bCs/>
                <w:kern w:val="0"/>
                <w:sz w:val="28"/>
                <w:szCs w:val="28"/>
                <w:highlight w:val="none"/>
              </w:rPr>
              <w:t>其他要求</w:t>
            </w:r>
          </w:p>
        </w:tc>
        <w:tc>
          <w:tcPr>
            <w:tcW w:w="7132" w:type="dxa"/>
            <w:tcBorders>
              <w:top w:val="single" w:color="auto" w:sz="4" w:space="0"/>
              <w:left w:val="single" w:color="000000" w:sz="4" w:space="0"/>
              <w:bottom w:val="single" w:color="auto" w:sz="4" w:space="0"/>
              <w:right w:val="single" w:color="000000" w:sz="4" w:space="0"/>
            </w:tcBorders>
            <w:shd w:val="clear" w:color="auto" w:fill="auto"/>
          </w:tcPr>
          <w:p w14:paraId="5E92772A">
            <w:pPr>
              <w:pStyle w:val="6"/>
              <w:spacing w:line="240" w:lineRule="auto"/>
              <w:ind w:firstLine="536" w:firstLineChars="200"/>
              <w:jc w:val="both"/>
              <w:rPr>
                <w:rStyle w:val="41"/>
                <w:rFonts w:hint="eastAsia" w:ascii="仿宋" w:hAnsi="仿宋" w:eastAsia="仿宋" w:cs="仿宋"/>
                <w:bCs/>
                <w:spacing w:val="-6"/>
                <w:sz w:val="28"/>
                <w:szCs w:val="28"/>
                <w:highlight w:val="none"/>
              </w:rPr>
            </w:pPr>
            <w:r>
              <w:rPr>
                <w:rStyle w:val="41"/>
                <w:rFonts w:hint="eastAsia" w:ascii="仿宋" w:hAnsi="仿宋" w:eastAsia="仿宋" w:cs="仿宋"/>
                <w:bCs/>
                <w:spacing w:val="-6"/>
                <w:sz w:val="28"/>
                <w:szCs w:val="28"/>
                <w:highlight w:val="none"/>
              </w:rPr>
              <w:t>1.磋商文件的解释权归采购人所有，由采购人负责解释。</w:t>
            </w:r>
          </w:p>
          <w:p w14:paraId="0F7C8A8B">
            <w:pPr>
              <w:pStyle w:val="6"/>
              <w:spacing w:line="240" w:lineRule="auto"/>
              <w:ind w:firstLine="536" w:firstLineChars="200"/>
              <w:jc w:val="both"/>
              <w:rPr>
                <w:rStyle w:val="41"/>
                <w:rFonts w:hint="eastAsia" w:ascii="仿宋" w:hAnsi="仿宋" w:eastAsia="仿宋" w:cs="仿宋"/>
                <w:bCs/>
                <w:spacing w:val="-6"/>
                <w:sz w:val="28"/>
                <w:szCs w:val="28"/>
                <w:highlight w:val="none"/>
              </w:rPr>
            </w:pPr>
            <w:r>
              <w:rPr>
                <w:rStyle w:val="41"/>
                <w:rFonts w:hint="eastAsia" w:ascii="仿宋" w:hAnsi="仿宋" w:eastAsia="仿宋" w:cs="仿宋"/>
                <w:bCs/>
                <w:spacing w:val="-6"/>
                <w:sz w:val="28"/>
                <w:szCs w:val="28"/>
                <w:highlight w:val="none"/>
                <w:lang w:val="en-US"/>
              </w:rPr>
              <w:t>2</w:t>
            </w:r>
            <w:r>
              <w:rPr>
                <w:rStyle w:val="41"/>
                <w:rFonts w:hint="eastAsia" w:ascii="仿宋" w:hAnsi="仿宋" w:eastAsia="仿宋" w:cs="仿宋"/>
                <w:bCs/>
                <w:spacing w:val="-6"/>
                <w:sz w:val="28"/>
                <w:szCs w:val="28"/>
                <w:highlight w:val="none"/>
              </w:rPr>
              <w:t>.如磋商文件中出现前后不一致的描述，解释优先顺序依次为供应商须知前附表＞评标办法＞磋商文件其他内容。</w:t>
            </w:r>
          </w:p>
          <w:p w14:paraId="0D708FCF">
            <w:pPr>
              <w:pStyle w:val="6"/>
              <w:spacing w:line="240" w:lineRule="auto"/>
              <w:ind w:firstLine="536" w:firstLineChars="200"/>
              <w:jc w:val="both"/>
              <w:rPr>
                <w:rFonts w:hint="eastAsia" w:ascii="仿宋" w:hAnsi="仿宋" w:eastAsia="仿宋" w:cs="仿宋"/>
                <w:bCs/>
                <w:sz w:val="28"/>
                <w:szCs w:val="28"/>
                <w:highlight w:val="none"/>
              </w:rPr>
            </w:pPr>
            <w:r>
              <w:rPr>
                <w:rStyle w:val="41"/>
                <w:rFonts w:hint="eastAsia" w:ascii="仿宋" w:hAnsi="仿宋" w:eastAsia="仿宋" w:cs="仿宋"/>
                <w:bCs/>
                <w:spacing w:val="-6"/>
                <w:sz w:val="28"/>
                <w:szCs w:val="28"/>
                <w:highlight w:val="none"/>
                <w:lang w:val="en-US"/>
              </w:rPr>
              <w:t>3</w:t>
            </w:r>
            <w:r>
              <w:rPr>
                <w:rStyle w:val="41"/>
                <w:rFonts w:hint="eastAsia" w:ascii="仿宋" w:hAnsi="仿宋" w:eastAsia="仿宋" w:cs="仿宋"/>
                <w:bCs/>
                <w:spacing w:val="-6"/>
                <w:sz w:val="28"/>
                <w:szCs w:val="28"/>
                <w:highlight w:val="none"/>
              </w:rPr>
              <w:t>.法定代表人（单位负责人）为同一个人的两个及两个以上法人（单位负责人）母公司、全资子公司及其控股公司，不得同时参与投标。</w:t>
            </w:r>
          </w:p>
          <w:p w14:paraId="123BB4DD">
            <w:pPr>
              <w:keepNext w:val="0"/>
              <w:keepLines w:val="0"/>
              <w:widowControl/>
              <w:suppressLineNumbers w:val="0"/>
              <w:spacing w:line="240" w:lineRule="auto"/>
              <w:jc w:val="left"/>
              <w:rPr>
                <w:b/>
                <w:bCs/>
                <w:highlight w:val="none"/>
              </w:rPr>
            </w:pPr>
            <w:r>
              <w:rPr>
                <w:rFonts w:ascii="仿宋" w:hAnsi="仿宋" w:eastAsia="仿宋" w:cs="仿宋"/>
                <w:b/>
                <w:bCs/>
                <w:color w:val="000000"/>
                <w:kern w:val="0"/>
                <w:sz w:val="28"/>
                <w:szCs w:val="28"/>
                <w:highlight w:val="none"/>
                <w:lang w:val="en-US" w:eastAsia="zh-CN" w:bidi="ar"/>
              </w:rPr>
              <w:t xml:space="preserve">注：投标供应商根据项目预算，结合自身及市场情况，参 </w:t>
            </w:r>
          </w:p>
          <w:p w14:paraId="1EB28D76">
            <w:pPr>
              <w:keepNext w:val="0"/>
              <w:keepLines w:val="0"/>
              <w:widowControl/>
              <w:suppressLineNumbers w:val="0"/>
              <w:spacing w:line="240" w:lineRule="auto"/>
              <w:jc w:val="left"/>
              <w:rPr>
                <w:b/>
                <w:bCs/>
                <w:highlight w:val="none"/>
              </w:rPr>
            </w:pPr>
            <w:r>
              <w:rPr>
                <w:rFonts w:hint="eastAsia" w:ascii="仿宋" w:hAnsi="仿宋" w:eastAsia="仿宋" w:cs="仿宋"/>
                <w:b/>
                <w:bCs/>
                <w:color w:val="000000"/>
                <w:kern w:val="0"/>
                <w:sz w:val="28"/>
                <w:szCs w:val="28"/>
                <w:highlight w:val="none"/>
                <w:lang w:val="en-US" w:eastAsia="zh-CN" w:bidi="ar"/>
              </w:rPr>
              <w:t xml:space="preserve">考相关标准及投标相关费用自行报价，如投标供应商恶意 </w:t>
            </w:r>
          </w:p>
          <w:p w14:paraId="6ACAC0BD">
            <w:pPr>
              <w:keepNext w:val="0"/>
              <w:keepLines w:val="0"/>
              <w:widowControl/>
              <w:suppressLineNumbers w:val="0"/>
              <w:spacing w:line="240" w:lineRule="auto"/>
              <w:jc w:val="left"/>
              <w:rPr>
                <w:b/>
                <w:bCs/>
                <w:highlight w:val="none"/>
              </w:rPr>
            </w:pPr>
            <w:r>
              <w:rPr>
                <w:rFonts w:hint="eastAsia" w:ascii="仿宋" w:hAnsi="仿宋" w:eastAsia="仿宋" w:cs="仿宋"/>
                <w:b/>
                <w:bCs/>
                <w:color w:val="000000"/>
                <w:kern w:val="0"/>
                <w:sz w:val="28"/>
                <w:szCs w:val="28"/>
                <w:highlight w:val="none"/>
                <w:lang w:val="en-US" w:eastAsia="zh-CN" w:bidi="ar"/>
              </w:rPr>
              <w:t xml:space="preserve">竞争低价中标造成项目中标后无法履行或所提供服务不 </w:t>
            </w:r>
          </w:p>
          <w:p w14:paraId="592D4827">
            <w:pPr>
              <w:keepNext w:val="0"/>
              <w:keepLines w:val="0"/>
              <w:widowControl/>
              <w:suppressLineNumbers w:val="0"/>
              <w:spacing w:line="240" w:lineRule="auto"/>
              <w:jc w:val="left"/>
              <w:rPr>
                <w:b/>
                <w:bCs/>
                <w:highlight w:val="none"/>
              </w:rPr>
            </w:pPr>
            <w:r>
              <w:rPr>
                <w:rFonts w:hint="eastAsia" w:ascii="仿宋" w:hAnsi="仿宋" w:eastAsia="仿宋" w:cs="仿宋"/>
                <w:b/>
                <w:bCs/>
                <w:color w:val="000000"/>
                <w:kern w:val="0"/>
                <w:sz w:val="28"/>
                <w:szCs w:val="28"/>
                <w:highlight w:val="none"/>
                <w:lang w:val="en-US" w:eastAsia="zh-CN" w:bidi="ar"/>
              </w:rPr>
              <w:t xml:space="preserve">符合要求，采购人有权拒绝验收并取消合同，重新采购。 </w:t>
            </w:r>
          </w:p>
          <w:p w14:paraId="011FC173">
            <w:pPr>
              <w:keepNext w:val="0"/>
              <w:keepLines w:val="0"/>
              <w:widowControl/>
              <w:suppressLineNumbers w:val="0"/>
              <w:spacing w:line="240" w:lineRule="auto"/>
              <w:jc w:val="left"/>
              <w:rPr>
                <w:rFonts w:hint="eastAsia" w:ascii="仿宋" w:hAnsi="仿宋" w:eastAsia="仿宋" w:cs="仿宋"/>
                <w:bCs/>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同时上报政府采购监管部门处理。 </w:t>
            </w:r>
          </w:p>
        </w:tc>
      </w:tr>
    </w:tbl>
    <w:p w14:paraId="61EF861C">
      <w:pPr>
        <w:spacing w:line="360" w:lineRule="auto"/>
        <w:ind w:firstLine="562" w:firstLineChars="200"/>
        <w:rPr>
          <w:rFonts w:hint="eastAsia" w:ascii="仿宋" w:hAnsi="仿宋" w:eastAsia="仿宋" w:cs="仿宋"/>
          <w:b/>
          <w:bCs w:val="0"/>
          <w:sz w:val="28"/>
          <w:szCs w:val="28"/>
          <w:highlight w:val="none"/>
        </w:rPr>
      </w:pPr>
      <w:bookmarkStart w:id="376" w:name="_Toc32576"/>
      <w:bookmarkStart w:id="377" w:name="_Toc5570"/>
      <w:r>
        <w:rPr>
          <w:rFonts w:hint="eastAsia" w:ascii="仿宋" w:hAnsi="仿宋" w:eastAsia="仿宋" w:cs="仿宋"/>
          <w:b/>
          <w:bCs w:val="0"/>
          <w:sz w:val="28"/>
          <w:szCs w:val="28"/>
          <w:highlight w:val="none"/>
        </w:rPr>
        <w:t>注：</w:t>
      </w:r>
      <w:bookmarkEnd w:id="376"/>
      <w:bookmarkEnd w:id="377"/>
      <w:r>
        <w:rPr>
          <w:rFonts w:hint="eastAsia" w:ascii="仿宋" w:hAnsi="仿宋" w:eastAsia="仿宋" w:cs="仿宋"/>
          <w:b/>
          <w:bCs w:val="0"/>
          <w:sz w:val="28"/>
          <w:szCs w:val="28"/>
          <w:highlight w:val="none"/>
        </w:rPr>
        <w:t>磋商文件中如有与供应商须知前附表不一致之处，以供应商须知前附表为准。</w:t>
      </w:r>
    </w:p>
    <w:p w14:paraId="3160445E">
      <w:pPr>
        <w:pStyle w:val="14"/>
        <w:rPr>
          <w:rFonts w:hint="eastAsia" w:ascii="仿宋" w:hAnsi="仿宋" w:eastAsia="仿宋" w:cs="仿宋"/>
          <w:highlight w:val="none"/>
        </w:rPr>
        <w:sectPr>
          <w:footerReference r:id="rId4" w:type="default"/>
          <w:pgSz w:w="11911" w:h="16849"/>
          <w:pgMar w:top="1134" w:right="1134" w:bottom="1134" w:left="1134" w:header="720" w:footer="720" w:gutter="0"/>
          <w:pgNumType w:fmt="decimal" w:start="1"/>
          <w:cols w:space="0" w:num="1"/>
          <w:rtlGutter w:val="0"/>
          <w:docGrid w:type="lines" w:linePitch="317" w:charSpace="0"/>
        </w:sectPr>
      </w:pPr>
    </w:p>
    <w:p w14:paraId="38918F19">
      <w:pPr>
        <w:pStyle w:val="7"/>
        <w:bidi w:val="0"/>
        <w:jc w:val="center"/>
        <w:rPr>
          <w:rFonts w:hint="eastAsia" w:ascii="仿宋" w:hAnsi="仿宋" w:eastAsia="仿宋" w:cs="仿宋"/>
          <w:highlight w:val="none"/>
          <w:lang w:val="en-US" w:eastAsia="zh-CN"/>
        </w:rPr>
      </w:pPr>
      <w:bookmarkStart w:id="378" w:name="_Toc31538"/>
      <w:bookmarkStart w:id="379" w:name="_Toc144969060"/>
      <w:r>
        <w:rPr>
          <w:rFonts w:hint="eastAsia" w:ascii="仿宋" w:hAnsi="仿宋" w:eastAsia="仿宋" w:cs="仿宋"/>
          <w:highlight w:val="none"/>
          <w:lang w:val="en-US" w:eastAsia="zh-CN"/>
        </w:rPr>
        <w:t>第三章 供应商须知</w:t>
      </w:r>
      <w:bookmarkEnd w:id="378"/>
      <w:bookmarkEnd w:id="379"/>
    </w:p>
    <w:p w14:paraId="1187DFFF">
      <w:pPr>
        <w:rPr>
          <w:rFonts w:hint="eastAsia" w:ascii="仿宋" w:hAnsi="仿宋" w:eastAsia="仿宋" w:cs="仿宋"/>
          <w:sz w:val="28"/>
          <w:szCs w:val="28"/>
          <w:highlight w:val="none"/>
        </w:rPr>
      </w:pPr>
    </w:p>
    <w:p w14:paraId="1B15FE8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1.适用范围</w:t>
      </w:r>
    </w:p>
    <w:p w14:paraId="6110887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 本磋商文件仅适用于本次磋商所述的工程项目采购。</w:t>
      </w:r>
    </w:p>
    <w:p w14:paraId="4AC9B4E1">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 2.定义</w:t>
      </w:r>
    </w:p>
    <w:p w14:paraId="41D3757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 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3EA49DD0">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 时限（年份、月份等）计算：系指从响应文件提交截止之日向前追溯 X年/月（“X”为“一”及以后整数）起算。</w:t>
      </w:r>
    </w:p>
    <w:p w14:paraId="1BC0D587">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 业绩：除非本磋商文件中另有规定，业绩系指符合本磋商文件规定且已交/竣工验收合格的业绩。供应商与其关联公司（如母公司、控股公司、分公司、子公司、同一法定代表人的公司等）之间签订的合同，均不予认可。</w:t>
      </w:r>
    </w:p>
    <w:p w14:paraId="6869A42E">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 3.采购人、采购代理机构及供应商</w:t>
      </w:r>
    </w:p>
    <w:p w14:paraId="2EFE314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 采购人：是指依法开展政府采购活动的国家机关、事业单位、团体组织。本项目的采购人见供应商须知前附表。</w:t>
      </w:r>
    </w:p>
    <w:p w14:paraId="7C29E43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 采购代理机构：是指集中采购机构或从事采购代理业务的社会中介机构。本项目的采购代理机构见供应商须知前附表。</w:t>
      </w:r>
    </w:p>
    <w:p w14:paraId="7083BFF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 政府采购监督管理部门：各级人民政府指定的有关部门依法履行与政府采购活动有关的监督管理职责。</w:t>
      </w:r>
    </w:p>
    <w:p w14:paraId="4227C04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 供应商：是指向采购人提供工程、货物或者服务的法人、非法人组织或者自然人。分支机构不得参加政府采购活动，但银行、保险、石油石化、电力、电信等特殊行业除外。本项目的供应商须满足以下条件：</w:t>
      </w:r>
    </w:p>
    <w:p w14:paraId="13C7B9A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在中华人民共和国境内注册，能够独立承担民事责任，有生产或供应能力的本国供应商。</w:t>
      </w:r>
    </w:p>
    <w:p w14:paraId="49B6199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具备《中华人民共和国政府采购法》第二十二条关于供应商条件的规定，遵守本项目采购人本级和上级财政部门政府采购的有关规定。</w:t>
      </w:r>
    </w:p>
    <w:p w14:paraId="1C33F1B1">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以采购代理机构认可的方式获得了本项目的磋商文件。</w:t>
      </w:r>
    </w:p>
    <w:p w14:paraId="555A2BC0">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3.4.4 若供应商须知前附表中写明专门面向中小企业采购的，如供应商为非中小企业，其响应文件将被认定为响应无效。</w:t>
      </w:r>
    </w:p>
    <w:p w14:paraId="4DD049E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 若供应商须知前附表中允许联合体参加磋商，对联合体规定如下：</w:t>
      </w:r>
    </w:p>
    <w:p w14:paraId="2A1C238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3.5.1 两个以上供应商可以组成一个磋商联合体，以一个供应商的身份磋商。</w:t>
      </w:r>
    </w:p>
    <w:p w14:paraId="4F1D2CC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 资金来源</w:t>
      </w:r>
    </w:p>
    <w:p w14:paraId="2533C9B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4.1 本项目的采购人已获得足以支付本次磋商后所签订的合同项下的资金。</w:t>
      </w:r>
    </w:p>
    <w:p w14:paraId="794DFE4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4.2 项目预算金额或分项（或分包）预算金额见磋商公告（磋商邀请）。</w:t>
      </w:r>
    </w:p>
    <w:p w14:paraId="26B7C60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5 磋商费用</w:t>
      </w:r>
    </w:p>
    <w:p w14:paraId="3B8BC6D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不论磋商的结果如何，供应商应承担其所有与准备和参加磋商有关的费用。</w:t>
      </w:r>
    </w:p>
    <w:p w14:paraId="7118B570">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6 适用法律</w:t>
      </w:r>
    </w:p>
    <w:p w14:paraId="1C62A2E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333A84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 磋商文件 构成</w:t>
      </w:r>
    </w:p>
    <w:p w14:paraId="090D8A4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7.1 磋商文件包括下列内容：</w:t>
      </w:r>
    </w:p>
    <w:p w14:paraId="3190CA97">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第一章 竞争性磋商公告</w:t>
      </w:r>
    </w:p>
    <w:p w14:paraId="7EA3812F">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第二章 供应商须知前附表</w:t>
      </w:r>
    </w:p>
    <w:p w14:paraId="44621CB9">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第三章 供应商须知</w:t>
      </w:r>
    </w:p>
    <w:p w14:paraId="1939A2C6">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第四章 采购需求</w:t>
      </w:r>
    </w:p>
    <w:p w14:paraId="758F291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第五章 评审方法和标准</w:t>
      </w:r>
    </w:p>
    <w:p w14:paraId="58894F6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第六章 政府采购合同</w:t>
      </w:r>
    </w:p>
    <w:p w14:paraId="644CCD6F">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第七章 磋商响应文件格式</w:t>
      </w:r>
    </w:p>
    <w:p w14:paraId="49B49F8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第八章 最终报价或第   次报价表</w:t>
      </w:r>
    </w:p>
    <w:p w14:paraId="31A9BAF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7.2 磋商文件中有不一致的，有澄清的部分以最终的澄清更正内容为准。</w:t>
      </w:r>
    </w:p>
    <w:p w14:paraId="7739F867">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7.3 现场踏勘及相关事项见供应商须知前附表。</w:t>
      </w:r>
    </w:p>
    <w:p w14:paraId="3FF5B00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7.4 供应商应认真阅读磋商文件所有的事项、格式、条款和技术规范等。</w:t>
      </w:r>
    </w:p>
    <w:p w14:paraId="0DD0FDC8">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8.磋商文件的澄清与修改</w:t>
      </w:r>
    </w:p>
    <w:p w14:paraId="20E04FE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8.1 </w:t>
      </w:r>
      <w:r>
        <w:rPr>
          <w:rFonts w:hint="eastAsia" w:ascii="仿宋" w:hAnsi="仿宋" w:eastAsia="仿宋" w:cs="仿宋"/>
          <w:color w:val="auto"/>
          <w:sz w:val="28"/>
          <w:szCs w:val="28"/>
          <w:highlight w:val="none"/>
          <w:lang w:eastAsia="zh-CN" w:bidi="ar"/>
        </w:rPr>
        <w:t>详见前附表</w:t>
      </w:r>
      <w:r>
        <w:rPr>
          <w:rFonts w:hint="eastAsia" w:ascii="仿宋" w:hAnsi="仿宋" w:eastAsia="仿宋" w:cs="仿宋"/>
          <w:color w:val="auto"/>
          <w:sz w:val="28"/>
          <w:szCs w:val="28"/>
          <w:highlight w:val="none"/>
          <w:lang w:bidi="ar"/>
        </w:rPr>
        <w:t>提交给采购代理机构。</w:t>
      </w:r>
    </w:p>
    <w:p w14:paraId="4DA6CDF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 响应文件的评审与磋商</w:t>
      </w:r>
    </w:p>
    <w:p w14:paraId="54D2E26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9.1 采购人和采购代理机构将在供应商须知前附表规定的时间和地点组织磋商。</w:t>
      </w:r>
    </w:p>
    <w:p w14:paraId="4699C3CD">
      <w:pPr>
        <w:pStyle w:val="7"/>
        <w:adjustRightInd w:val="0"/>
        <w:snapToGrid w:val="0"/>
        <w:spacing w:line="360" w:lineRule="auto"/>
        <w:ind w:firstLine="560" w:firstLineChars="200"/>
        <w:contextualSpacing/>
        <w:rPr>
          <w:rFonts w:hint="eastAsia" w:ascii="仿宋" w:hAnsi="仿宋" w:eastAsia="仿宋" w:cs="仿宋"/>
          <w:b w:val="0"/>
          <w:color w:val="auto"/>
          <w:sz w:val="28"/>
          <w:szCs w:val="28"/>
          <w:highlight w:val="none"/>
        </w:rPr>
      </w:pPr>
      <w:bookmarkStart w:id="380" w:name="_Toc144969061"/>
      <w:bookmarkStart w:id="381" w:name="_Toc144907640"/>
      <w:bookmarkStart w:id="382" w:name="_Toc24125"/>
      <w:r>
        <w:rPr>
          <w:rFonts w:hint="eastAsia" w:ascii="仿宋" w:hAnsi="仿宋" w:eastAsia="仿宋" w:cs="仿宋"/>
          <w:b w:val="0"/>
          <w:color w:val="auto"/>
          <w:sz w:val="28"/>
          <w:szCs w:val="28"/>
          <w:highlight w:val="none"/>
        </w:rPr>
        <w:t>9.2 竞争性磋商活动采用综合评分法评审。</w:t>
      </w:r>
      <w:bookmarkEnd w:id="380"/>
      <w:bookmarkEnd w:id="381"/>
      <w:bookmarkEnd w:id="382"/>
    </w:p>
    <w:p w14:paraId="76FFBE96">
      <w:pPr>
        <w:pStyle w:val="7"/>
        <w:adjustRightInd w:val="0"/>
        <w:snapToGrid w:val="0"/>
        <w:spacing w:line="360" w:lineRule="auto"/>
        <w:ind w:firstLine="560" w:firstLineChars="200"/>
        <w:contextualSpacing/>
        <w:rPr>
          <w:rFonts w:hint="eastAsia" w:ascii="仿宋" w:hAnsi="仿宋" w:eastAsia="仿宋" w:cs="仿宋"/>
          <w:b w:val="0"/>
          <w:color w:val="auto"/>
          <w:sz w:val="28"/>
          <w:szCs w:val="28"/>
          <w:highlight w:val="none"/>
        </w:rPr>
      </w:pPr>
      <w:bookmarkStart w:id="383" w:name="_Toc15697"/>
      <w:bookmarkStart w:id="384" w:name="_Toc144969062"/>
      <w:bookmarkStart w:id="385" w:name="_Toc144907641"/>
      <w:r>
        <w:rPr>
          <w:rFonts w:hint="eastAsia" w:ascii="仿宋" w:hAnsi="仿宋" w:eastAsia="仿宋" w:cs="仿宋"/>
          <w:b w:val="0"/>
          <w:color w:val="auto"/>
          <w:sz w:val="28"/>
          <w:szCs w:val="28"/>
          <w:highlight w:val="none"/>
        </w:rPr>
        <w:t>综合评分法，是指响应文件满足磋商文件全部实质性要求且按评审因素的量化指标评审得分最高的供应商为成交候选供应商的评审方法。</w:t>
      </w:r>
      <w:bookmarkEnd w:id="383"/>
      <w:bookmarkEnd w:id="384"/>
      <w:bookmarkEnd w:id="385"/>
    </w:p>
    <w:p w14:paraId="23D6DC7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 磋商小组将按照磋商文件规定的评审办法和标准对供应商独立进行评审。评审程序如下：</w:t>
      </w:r>
    </w:p>
    <w:p w14:paraId="75E4AEA8">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9.3.1 初审。磋商小组对供应商必须满足和实质性响应的内容进行评审，供应商未实质性响应磋商文件要求导致响应无效的，磋商小组将以书面询标的方式告知有关供应商。</w:t>
      </w:r>
    </w:p>
    <w:p w14:paraId="00C19FE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采购人或采购代理机构将在响应文件提交截止时间后至评审结束前查询供应商的信用记录。供应商存在不良信用记录的，其响应文件将被认定为 响应无效。</w:t>
      </w:r>
    </w:p>
    <w:p w14:paraId="23BD797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9.3.1.1 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199274B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以联合体形式参加磋商的，联合体任何成员存在以上不良信用记录的，联合体磋商将被认定为 响应无效。</w:t>
      </w:r>
    </w:p>
    <w:p w14:paraId="083E4B6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9.3.1.2 信用信息查询渠道：中国政府采购网（www.ccgp.gov.cn）、“信用中国”网站（www.creditchina.gov.cn）。</w:t>
      </w:r>
    </w:p>
    <w:p w14:paraId="6C4DCE2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9.3.1.3 信用信息记录方式：采购人或采购代理机构工作人员将查询网页打印、签字并存档备查。供应商不良信用记录以采购人或采购代理机构查询结果为准。</w:t>
      </w:r>
    </w:p>
    <w:p w14:paraId="732DC078">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在本磋商文件规定的查询时间之外，网站信息发生的任何变更均不作为初审依据。</w:t>
      </w:r>
    </w:p>
    <w:p w14:paraId="4982625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供应商自行提供的与网站信息不一致的其他证明材料亦不作为初审依据。</w:t>
      </w:r>
    </w:p>
    <w:p w14:paraId="23E3FAA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9.3.2 磋商。初审合格后，磋商小组将按网上加密电子响应文件提交顺序集中与单一供应商分别进行磋商，并给予所有参加磋商的供应商平等的磋商机会，如供应商未到磋商现场的，视同放弃该权利。</w:t>
      </w:r>
    </w:p>
    <w:p w14:paraId="2E1F02AF">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9.3.3 报价。磋商结束后，磋商小组应当要求所有继续参加磋商的供应商在规定时间内提交最后报价。</w:t>
      </w:r>
    </w:p>
    <w:p w14:paraId="1A79528F">
      <w:pPr>
        <w:pStyle w:val="7"/>
        <w:adjustRightInd w:val="0"/>
        <w:snapToGrid w:val="0"/>
        <w:spacing w:line="360" w:lineRule="auto"/>
        <w:ind w:firstLine="560" w:firstLineChars="200"/>
        <w:contextualSpacing/>
        <w:rPr>
          <w:rFonts w:hint="eastAsia" w:ascii="仿宋" w:hAnsi="仿宋" w:eastAsia="仿宋" w:cs="仿宋"/>
          <w:color w:val="auto"/>
          <w:sz w:val="28"/>
          <w:szCs w:val="28"/>
          <w:highlight w:val="none"/>
          <w:lang w:bidi="ar"/>
        </w:rPr>
      </w:pPr>
      <w:bookmarkStart w:id="386" w:name="_Toc144969063"/>
      <w:bookmarkStart w:id="387" w:name="_Toc20394"/>
      <w:bookmarkStart w:id="388" w:name="_Toc144907653"/>
      <w:r>
        <w:rPr>
          <w:rFonts w:hint="eastAsia" w:ascii="仿宋" w:hAnsi="仿宋" w:eastAsia="仿宋" w:cs="仿宋"/>
          <w:b w:val="0"/>
          <w:color w:val="auto"/>
          <w:sz w:val="28"/>
          <w:szCs w:val="28"/>
          <w:highlight w:val="none"/>
        </w:rPr>
        <w:t>9.3.4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bookmarkEnd w:id="386"/>
      <w:bookmarkEnd w:id="387"/>
      <w:bookmarkEnd w:id="388"/>
    </w:p>
    <w:p w14:paraId="22BC321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 相关说明。</w:t>
      </w:r>
    </w:p>
    <w:p w14:paraId="3ED1101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9.4.1 为保证磋商活动顺利进行，供应商可派相关技术人员进行现场答疑；</w:t>
      </w:r>
    </w:p>
    <w:p w14:paraId="2D7271A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5F411D5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9.4.3 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人递补，以此类推。</w:t>
      </w:r>
    </w:p>
    <w:p w14:paraId="06F6ACD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9.4.4 无论何种原因，即使供应商磋商时携带了证书材料的原件，但响应文件中未提供与之内容完全一致的扫描件的，磋商小组可以视同其未提供。</w:t>
      </w:r>
    </w:p>
    <w:p w14:paraId="0E55B5AE">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9.4.5 磋商小组决定响应文件的响应性及符合性只根据响应文件本身的内容，而不寻求其他外部证据。</w:t>
      </w:r>
    </w:p>
    <w:p w14:paraId="7AA1A6E1">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9.5 供应商授权代表对磋商过程有疑义，以及认为采购人、采购代理机构相关工作人员有需要回避的情形的，应当场提出询问或者回避申请，并说明理由。</w:t>
      </w:r>
    </w:p>
    <w:p w14:paraId="7F419276">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0 终止竞争性磋商</w:t>
      </w:r>
    </w:p>
    <w:p w14:paraId="77D3FC47">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0.1 出现下列情况之一时，采购人和采购代理机构有权宣布终止竞争性磋商采购，并将理由通知所有供应商：</w:t>
      </w:r>
    </w:p>
    <w:p w14:paraId="6A19B50E">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（1）有效供应商数量不足，导致本次磋商缺乏竞争的；</w:t>
      </w:r>
    </w:p>
    <w:p w14:paraId="5DCF203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（2）出现影响采购公正的违法、违规行为的；</w:t>
      </w:r>
    </w:p>
    <w:p w14:paraId="4569916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（3）因重大变故，采购任务取消的；</w:t>
      </w:r>
    </w:p>
    <w:p w14:paraId="597C9F7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（4）政府采购法律法规规定的其他情形。</w:t>
      </w:r>
    </w:p>
    <w:p w14:paraId="2ADBD9D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1 响应文件的澄清、说明或更正</w:t>
      </w:r>
    </w:p>
    <w:p w14:paraId="019B9DB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1.1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C42EC8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1.2 磋商小组要求供应商澄清、说明或者更正响应文件应当以书面形式（询标）作出。供应商的澄清、说明或者更正应当由法定代表人或其授权代表签字或者加盖公章。</w:t>
      </w:r>
    </w:p>
    <w:p w14:paraId="2C6D7E4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如有询标，授权代表（或法定代表人）携带本人有效身份证明原件参加询标。因授权代表联系不上 、没有及时登录系统、 未到磋商现场等情形 而无法接受磋商小组询标的，供应商自行承担相关风险。</w:t>
      </w:r>
    </w:p>
    <w:p w14:paraId="5C6695D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 最后报价</w:t>
      </w:r>
    </w:p>
    <w:p w14:paraId="1FF40E60">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 磋商并不限定只进行二轮报价，如果磋商小组认为有必要，可以要求供应商进行多轮报价。</w:t>
      </w:r>
    </w:p>
    <w:p w14:paraId="02DED45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2.2 在磋商内容不做实质性变更或重大调整的前提下，供应商下轮报价不得高于上一轮报价。</w:t>
      </w:r>
    </w:p>
    <w:p w14:paraId="49CD589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2.3 最后报价是供应商响应文件的有效组成部分，最后报价也是签订合同的依据。</w:t>
      </w:r>
    </w:p>
    <w:p w14:paraId="2245F9E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2.4除国家政策性文件规定以外，供应商所报价格在合同实施期间不因市场变化因素而变动。</w:t>
      </w:r>
    </w:p>
    <w:p w14:paraId="4A208AC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5</w:t>
      </w:r>
      <w:r>
        <w:rPr>
          <w:rFonts w:hint="eastAsia" w:ascii="仿宋" w:hAnsi="仿宋" w:eastAsia="仿宋" w:cs="仿宋"/>
          <w:color w:val="auto"/>
          <w:sz w:val="28"/>
          <w:szCs w:val="28"/>
          <w:highlight w:val="none"/>
          <w:lang w:bidi="ar"/>
        </w:rPr>
        <w:t xml:space="preserve"> 供应商应当按照企业定额或 2018 版安徽省建设工程计价依据以及材料市场价格信息等，结合自身实力、施工经验、现场环境以及磋商文件的要求自主报价。</w:t>
      </w:r>
    </w:p>
    <w:p w14:paraId="7B682308">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 xml:space="preserve"> 供应商的报价应严格执行下列标准，不得降低标准进行竞标。</w:t>
      </w:r>
    </w:p>
    <w:p w14:paraId="76A1880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.1 不可竞争费用包括：</w:t>
      </w:r>
    </w:p>
    <w:p w14:paraId="25398511">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（1）安全文明施工费：</w:t>
      </w:r>
      <w:r>
        <w:rPr>
          <w:rFonts w:hint="eastAsia" w:ascii="仿宋" w:hAnsi="仿宋" w:eastAsia="仿宋" w:cs="仿宋"/>
          <w:color w:val="auto"/>
          <w:sz w:val="28"/>
          <w:szCs w:val="28"/>
          <w:highlight w:val="none"/>
          <w:lang w:val="en-US" w:eastAsia="zh-CN" w:bidi="ar"/>
        </w:rPr>
        <w:t>按照有关规定执行</w:t>
      </w:r>
      <w:r>
        <w:rPr>
          <w:rFonts w:hint="eastAsia" w:ascii="仿宋" w:hAnsi="仿宋" w:eastAsia="仿宋" w:cs="仿宋"/>
          <w:color w:val="auto"/>
          <w:sz w:val="28"/>
          <w:szCs w:val="28"/>
          <w:highlight w:val="none"/>
          <w:lang w:bidi="ar"/>
        </w:rPr>
        <w:t xml:space="preserve"> 。</w:t>
      </w:r>
    </w:p>
    <w:p w14:paraId="3580FAE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环境保护税</w:t>
      </w:r>
      <w:r>
        <w:rPr>
          <w:rFonts w:hint="eastAsia" w:ascii="仿宋" w:hAnsi="仿宋" w:eastAsia="仿宋" w:cs="仿宋"/>
          <w:color w:val="auto"/>
          <w:sz w:val="28"/>
          <w:szCs w:val="28"/>
          <w:highlight w:val="none"/>
          <w:lang w:bidi="ar"/>
        </w:rPr>
        <w:t>：</w:t>
      </w:r>
      <w:r>
        <w:rPr>
          <w:rFonts w:hint="eastAsia" w:ascii="仿宋" w:hAnsi="仿宋" w:eastAsia="仿宋" w:cs="仿宋"/>
          <w:color w:val="auto"/>
          <w:sz w:val="28"/>
          <w:szCs w:val="28"/>
          <w:highlight w:val="none"/>
          <w:lang w:val="en-US" w:eastAsia="zh-CN" w:bidi="ar"/>
        </w:rPr>
        <w:t xml:space="preserve">按照有关规定执行 </w:t>
      </w:r>
      <w:r>
        <w:rPr>
          <w:rFonts w:hint="eastAsia" w:ascii="仿宋" w:hAnsi="仿宋" w:eastAsia="仿宋" w:cs="仿宋"/>
          <w:color w:val="auto"/>
          <w:sz w:val="28"/>
          <w:szCs w:val="28"/>
          <w:highlight w:val="none"/>
          <w:lang w:bidi="ar"/>
        </w:rPr>
        <w:t>。</w:t>
      </w:r>
    </w:p>
    <w:p w14:paraId="4D2A5E7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.2 其他项目费：</w:t>
      </w:r>
    </w:p>
    <w:p w14:paraId="2F3A78D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（1）暂列金额；</w:t>
      </w:r>
    </w:p>
    <w:p w14:paraId="7E24187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（2）暂估价；</w:t>
      </w:r>
    </w:p>
    <w:p w14:paraId="0F4D933F">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.3 工程增值税税率：9%</w:t>
      </w:r>
    </w:p>
    <w:p w14:paraId="5DF1B769">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.4 磋商文件中明确的由采购人自行采购的材料费。</w:t>
      </w:r>
    </w:p>
    <w:p w14:paraId="49CD482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.5 法规规章、上级文件规定的其他不可竞争费用。</w:t>
      </w:r>
    </w:p>
    <w:p w14:paraId="38E989D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7</w:t>
      </w:r>
      <w:r>
        <w:rPr>
          <w:rFonts w:hint="eastAsia" w:ascii="仿宋" w:hAnsi="仿宋" w:eastAsia="仿宋" w:cs="仿宋"/>
          <w:color w:val="auto"/>
          <w:sz w:val="28"/>
          <w:szCs w:val="28"/>
          <w:highlight w:val="none"/>
          <w:lang w:bidi="ar"/>
        </w:rPr>
        <w:t xml:space="preserve"> 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6764A53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8</w:t>
      </w:r>
      <w:r>
        <w:rPr>
          <w:rFonts w:hint="eastAsia" w:ascii="仿宋" w:hAnsi="仿宋" w:eastAsia="仿宋" w:cs="仿宋"/>
          <w:color w:val="auto"/>
          <w:sz w:val="28"/>
          <w:szCs w:val="28"/>
          <w:highlight w:val="none"/>
          <w:lang w:bidi="ar"/>
        </w:rPr>
        <w:t xml:space="preserve"> 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4DF248D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9</w:t>
      </w:r>
      <w:r>
        <w:rPr>
          <w:rFonts w:hint="eastAsia" w:ascii="仿宋" w:hAnsi="仿宋" w:eastAsia="仿宋" w:cs="仿宋"/>
          <w:color w:val="auto"/>
          <w:sz w:val="28"/>
          <w:szCs w:val="28"/>
          <w:highlight w:val="none"/>
          <w:lang w:bidi="ar"/>
        </w:rPr>
        <w:t xml:space="preserve"> 工程材料</w:t>
      </w:r>
    </w:p>
    <w:p w14:paraId="6679081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9</w:t>
      </w:r>
      <w:r>
        <w:rPr>
          <w:rFonts w:hint="eastAsia" w:ascii="仿宋" w:hAnsi="仿宋" w:eastAsia="仿宋" w:cs="仿宋"/>
          <w:color w:val="auto"/>
          <w:sz w:val="28"/>
          <w:szCs w:val="28"/>
          <w:highlight w:val="none"/>
          <w:lang w:bidi="ar"/>
        </w:rPr>
        <w:t>.1 材料供应方式：本工程使用的材料由承包人采购供应；</w:t>
      </w:r>
    </w:p>
    <w:p w14:paraId="36F1BD7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9</w:t>
      </w:r>
      <w:r>
        <w:rPr>
          <w:rFonts w:hint="eastAsia" w:ascii="仿宋" w:hAnsi="仿宋" w:eastAsia="仿宋" w:cs="仿宋"/>
          <w:color w:val="auto"/>
          <w:sz w:val="28"/>
          <w:szCs w:val="28"/>
          <w:highlight w:val="none"/>
          <w:lang w:bidi="ar"/>
        </w:rPr>
        <w:t>.2 材料价格：除甲供材和实行暂估价的材料及设备以外，由供应商自行采购的材料确定磋商最后报价时应充分考虑材料价格上涨等市场风险因素，成交后不作调整，综合单价中的材料费应包括材料运杂费、采保费及试验检验费。</w:t>
      </w:r>
    </w:p>
    <w:p w14:paraId="3A729346">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w:t>
      </w:r>
      <w:r>
        <w:rPr>
          <w:rFonts w:hint="eastAsia" w:ascii="仿宋" w:hAnsi="仿宋" w:eastAsia="仿宋" w:cs="仿宋"/>
          <w:color w:val="auto"/>
          <w:sz w:val="28"/>
          <w:szCs w:val="28"/>
          <w:highlight w:val="none"/>
          <w:lang w:val="en-US" w:eastAsia="zh-CN" w:bidi="ar"/>
        </w:rPr>
        <w:t>9</w:t>
      </w:r>
      <w:r>
        <w:rPr>
          <w:rFonts w:hint="eastAsia" w:ascii="仿宋" w:hAnsi="仿宋" w:eastAsia="仿宋" w:cs="仿宋"/>
          <w:color w:val="auto"/>
          <w:sz w:val="28"/>
          <w:szCs w:val="28"/>
          <w:highlight w:val="none"/>
          <w:lang w:bidi="ar"/>
        </w:rPr>
        <w:t>.3 采购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F56D279">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前款所称暂估价，是指不能确定价格而由采购人在磋商文件中暂时估定的工程、货物、服务的金额。</w:t>
      </w:r>
    </w:p>
    <w:p w14:paraId="53608986">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0</w:t>
      </w:r>
      <w:r>
        <w:rPr>
          <w:rFonts w:hint="eastAsia" w:ascii="仿宋" w:hAnsi="仿宋" w:eastAsia="仿宋" w:cs="仿宋"/>
          <w:color w:val="auto"/>
          <w:sz w:val="28"/>
          <w:szCs w:val="28"/>
          <w:highlight w:val="none"/>
          <w:lang w:bidi="ar"/>
        </w:rPr>
        <w:t xml:space="preserve"> 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3CBADBB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 xml:space="preserve"> 工程造价的确定与控制</w:t>
      </w:r>
    </w:p>
    <w:p w14:paraId="1CB918E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.1 本工程经定标后，工程总造价在磋商范围内包定，除经批准的设计变更、经济签证外，其它工程造价增减均不予签证计价。</w:t>
      </w:r>
    </w:p>
    <w:p w14:paraId="1FDE1EB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 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5ED00EB7">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3.1采购人发布的图纸清单及技术规范书，作为本次采购的基础依据。供应商应当在响应文件递交截止时间3日前提出全部疑问；否则视同认可本采购文件中所提供的工程量。经确定的清单中标后不再调整，供应商应按图纸、采购文件、清单等相关资料要求内容完成全部工程内容。</w:t>
      </w:r>
    </w:p>
    <w:p w14:paraId="2A955FB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.3.2当清单数量与实际工程量产生偏差，误差在-5%～5%之内（包括±5%），不予调整；超出-5%～5%以外的，采购人将组织复核，若情况属实将按实对采购清单进行调整，并在网上发布，否则不予调整。</w:t>
      </w:r>
    </w:p>
    <w:p w14:paraId="4610D0EE">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.3.3 在标前核量之后，如有少算、漏项或错项等，视为潜在供应商的自行优惠让利，对清单中的所有内容中标后不予调整（除因设计变更、工程变更或合同约定的其他调整因素外）。</w:t>
      </w:r>
    </w:p>
    <w:p w14:paraId="0E9D847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.4 供应商在规定时间内未对工程量清单提出疑问的，成交后，采购人不再对工程量清单的项目和数量进行校对调整。供应商必须按其报价完成竞争性磋商文件规定范围内的设计图纸规定的所有工程项目。</w:t>
      </w:r>
    </w:p>
    <w:p w14:paraId="378476E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成交供应商在工程量清单报价书中所报的综合单价一律不予调整。</w:t>
      </w:r>
    </w:p>
    <w:p w14:paraId="4402488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2.1</w:t>
      </w:r>
      <w:r>
        <w:rPr>
          <w:rFonts w:hint="eastAsia" w:ascii="仿宋" w:hAnsi="仿宋" w:eastAsia="仿宋" w:cs="仿宋"/>
          <w:color w:val="auto"/>
          <w:sz w:val="28"/>
          <w:szCs w:val="28"/>
          <w:highlight w:val="none"/>
          <w:lang w:val="en-US" w:eastAsia="zh-CN" w:bidi="ar"/>
        </w:rPr>
        <w:t>3</w:t>
      </w:r>
      <w:r>
        <w:rPr>
          <w:rFonts w:hint="eastAsia" w:ascii="仿宋" w:hAnsi="仿宋" w:eastAsia="仿宋" w:cs="仿宋"/>
          <w:color w:val="auto"/>
          <w:sz w:val="28"/>
          <w:szCs w:val="28"/>
          <w:highlight w:val="none"/>
          <w:lang w:bidi="ar"/>
        </w:rPr>
        <w:t xml:space="preserve"> 本工程不接受恶意不平衡报价，不保证最低价成交。</w:t>
      </w:r>
    </w:p>
    <w:p w14:paraId="498C74D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3 成交候选人的推荐原则及标准</w:t>
      </w:r>
    </w:p>
    <w:p w14:paraId="7505D51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3.1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0FC345C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4 确定成交候选人和成交供应商</w:t>
      </w:r>
    </w:p>
    <w:p w14:paraId="2D5347C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4.1 磋商小组按照最后报价由低到高的顺序和供应商须知前附表中规定确定成交候选人，并标明排列顺序。排名第一的成交候选人经采购人或采购人授权的磋商小组确定为成交供应商后，由采购代理机构在指定媒体上予以公告。</w:t>
      </w:r>
    </w:p>
    <w:p w14:paraId="1F3E128D">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5 编写评审报告</w:t>
      </w:r>
    </w:p>
    <w:p w14:paraId="2A888649">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5.1 评审报告是根据全体磋商小组成员签字的原始评审记录和评审结果编写的报告，评审报告由磋商小组全体成员签字。对评审结论持有异议的磋商小组成员可以书面方式阐述其不同意见和理由。磋商小组成员拒绝在评标报告上签字且不陈述其不同意见和理由的，视为同意评审结论。</w:t>
      </w:r>
    </w:p>
    <w:p w14:paraId="4464DAC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6 保密要求</w:t>
      </w:r>
    </w:p>
    <w:p w14:paraId="294FD213">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6.1 评审将在严格保密的情况下进行。</w:t>
      </w:r>
    </w:p>
    <w:p w14:paraId="445CAF46">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6.2 有关人员应当遵守评审工作纪律，不得泄露评审文件、评审情况和评审中获悉的国家秘密、商业秘密。</w:t>
      </w:r>
    </w:p>
    <w:p w14:paraId="260D8F6E">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7 成交结果公告</w:t>
      </w:r>
    </w:p>
    <w:p w14:paraId="64B741BE">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7.1 为体现“公开、公平、公正”的原则，磋商结束后，采购代理机构将在</w:t>
      </w:r>
      <w:r>
        <w:rPr>
          <w:rFonts w:hint="eastAsia" w:ascii="仿宋" w:hAnsi="仿宋" w:eastAsia="仿宋" w:cs="仿宋"/>
          <w:color w:val="auto"/>
          <w:sz w:val="28"/>
          <w:szCs w:val="28"/>
          <w:highlight w:val="none"/>
          <w:lang w:eastAsia="zh-CN" w:bidi="ar"/>
        </w:rPr>
        <w:t>公告发布网站</w:t>
      </w:r>
      <w:r>
        <w:rPr>
          <w:rFonts w:hint="eastAsia" w:ascii="仿宋" w:hAnsi="仿宋" w:eastAsia="仿宋" w:cs="仿宋"/>
          <w:color w:val="auto"/>
          <w:sz w:val="28"/>
          <w:szCs w:val="28"/>
          <w:highlight w:val="none"/>
          <w:lang w:bidi="ar"/>
        </w:rPr>
        <w:t>上发布成交结果公告。</w:t>
      </w:r>
    </w:p>
    <w:p w14:paraId="125F7A58">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7.2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631518F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8 成交通知书</w:t>
      </w:r>
    </w:p>
    <w:p w14:paraId="739040D2">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8.1 采购代理机构发布成交结果公告的同时以供应商须知前附表规定的形式向成交供应商发出成交通知书。</w:t>
      </w:r>
    </w:p>
    <w:p w14:paraId="019D22AF">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8.2 成交通知书对采购人和成交供应商具有同等法律效力。成交通知书发出以后，采购人改变成交结果或者成交供应商放弃成交资格，应当承担相应的法律责任。</w:t>
      </w:r>
    </w:p>
    <w:p w14:paraId="6F06A0F6">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8.3 成交通知书是合同的组成部分。</w:t>
      </w:r>
    </w:p>
    <w:p w14:paraId="76820F2E">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9 告知磋商结果</w:t>
      </w:r>
    </w:p>
    <w:p w14:paraId="5152B286">
      <w:pPr>
        <w:pStyle w:val="7"/>
        <w:adjustRightInd w:val="0"/>
        <w:snapToGrid w:val="0"/>
        <w:spacing w:line="360" w:lineRule="auto"/>
        <w:ind w:firstLine="560" w:firstLineChars="200"/>
        <w:contextualSpacing/>
        <w:rPr>
          <w:rFonts w:hint="eastAsia" w:ascii="仿宋" w:hAnsi="仿宋" w:eastAsia="仿宋" w:cs="仿宋"/>
          <w:b w:val="0"/>
          <w:color w:val="auto"/>
          <w:sz w:val="28"/>
          <w:szCs w:val="28"/>
          <w:highlight w:val="none"/>
        </w:rPr>
      </w:pPr>
      <w:bookmarkStart w:id="389" w:name="_Toc144907695"/>
      <w:bookmarkStart w:id="390" w:name="_Toc29012"/>
      <w:bookmarkStart w:id="391" w:name="_Toc144969064"/>
      <w:r>
        <w:rPr>
          <w:rFonts w:hint="eastAsia" w:ascii="仿宋" w:hAnsi="仿宋" w:eastAsia="仿宋" w:cs="仿宋"/>
          <w:b w:val="0"/>
          <w:color w:val="auto"/>
          <w:sz w:val="28"/>
          <w:szCs w:val="28"/>
          <w:highlight w:val="none"/>
          <w:lang w:val="en-US" w:eastAsia="zh-CN"/>
        </w:rPr>
        <w:t>1</w:t>
      </w:r>
      <w:r>
        <w:rPr>
          <w:rFonts w:hint="eastAsia" w:ascii="仿宋" w:hAnsi="仿宋" w:eastAsia="仿宋" w:cs="仿宋"/>
          <w:b w:val="0"/>
          <w:color w:val="auto"/>
          <w:sz w:val="28"/>
          <w:szCs w:val="28"/>
          <w:highlight w:val="none"/>
        </w:rPr>
        <w:t>9.1 在公告成交结果的同时，采购代理机构同时以供应商须知前附表规定的形式告知未成交供应商本人的评审得分和排序。</w:t>
      </w:r>
      <w:bookmarkEnd w:id="389"/>
      <w:bookmarkEnd w:id="390"/>
      <w:bookmarkEnd w:id="391"/>
    </w:p>
    <w:p w14:paraId="106E7757">
      <w:pPr>
        <w:pStyle w:val="7"/>
        <w:adjustRightInd w:val="0"/>
        <w:snapToGrid w:val="0"/>
        <w:spacing w:line="360" w:lineRule="auto"/>
        <w:ind w:firstLine="560" w:firstLineChars="200"/>
        <w:contextualSpacing/>
        <w:rPr>
          <w:rFonts w:hint="eastAsia" w:ascii="仿宋" w:hAnsi="仿宋" w:eastAsia="仿宋" w:cs="仿宋"/>
          <w:b w:val="0"/>
          <w:color w:val="auto"/>
          <w:sz w:val="28"/>
          <w:szCs w:val="28"/>
          <w:highlight w:val="none"/>
        </w:rPr>
      </w:pPr>
      <w:bookmarkStart w:id="392" w:name="_Toc144907696"/>
      <w:bookmarkStart w:id="393" w:name="_Toc144969065"/>
      <w:bookmarkStart w:id="394" w:name="_Toc3042"/>
      <w:r>
        <w:rPr>
          <w:rFonts w:hint="eastAsia" w:ascii="仿宋" w:hAnsi="仿宋" w:eastAsia="仿宋" w:cs="仿宋"/>
          <w:b w:val="0"/>
          <w:color w:val="auto"/>
          <w:sz w:val="28"/>
          <w:szCs w:val="28"/>
          <w:highlight w:val="none"/>
          <w:lang w:val="en-US" w:eastAsia="zh-CN"/>
        </w:rPr>
        <w:t>1</w:t>
      </w:r>
      <w:r>
        <w:rPr>
          <w:rFonts w:hint="eastAsia" w:ascii="仿宋" w:hAnsi="仿宋" w:eastAsia="仿宋" w:cs="仿宋"/>
          <w:b w:val="0"/>
          <w:color w:val="auto"/>
          <w:sz w:val="28"/>
          <w:szCs w:val="28"/>
          <w:highlight w:val="none"/>
        </w:rPr>
        <w:t>9.2 采购代理机构对未成交的供应商不做未成交原因的解释。</w:t>
      </w:r>
      <w:bookmarkEnd w:id="392"/>
      <w:bookmarkEnd w:id="393"/>
      <w:bookmarkEnd w:id="394"/>
    </w:p>
    <w:p w14:paraId="63BA42B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0 履约保证金</w:t>
      </w:r>
    </w:p>
    <w:p w14:paraId="0BF63A6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0.1 成交供应商应按照供应商须知前附表规定缴纳履约保证金。</w:t>
      </w:r>
    </w:p>
    <w:p w14:paraId="75EA79B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0.2 如果成交供应商没有按照上述履约保证金的规定执行，将视为放弃成交资格。在此情况下，采购人可确定下一成交候选人为成交供应商，也可以重新开展采购活动。</w:t>
      </w:r>
    </w:p>
    <w:p w14:paraId="285AF2F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1 代理服务费</w:t>
      </w:r>
    </w:p>
    <w:p w14:paraId="324841D5">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1.1 本项目代理服务费的收取按供应商须知前附表的规定执行。</w:t>
      </w:r>
    </w:p>
    <w:p w14:paraId="44D79048">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2.签订合同</w:t>
      </w:r>
    </w:p>
    <w:p w14:paraId="13E6728F">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2.1 采购人与成交供应商应当自发出成交通知书之日起 7个工作日内签订合同。</w:t>
      </w:r>
    </w:p>
    <w:p w14:paraId="121C9560">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2.2 磋商文件、成交供应商的响应文件及其澄清文件等，均为签订合同的依据。</w:t>
      </w:r>
    </w:p>
    <w:p w14:paraId="3773CBA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2.3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1F8C0C28">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3 廉洁自律规定</w:t>
      </w:r>
    </w:p>
    <w:p w14:paraId="0A63C309">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3.1 采购代理机构工作人员不得以不正当手段获取政府采购代理业务，不得与采购人、供应商恶意串通。</w:t>
      </w:r>
    </w:p>
    <w:p w14:paraId="5DAF3C2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3.2 采购代理机构工作人员不得接受采购人或者供应商组织的宴请、旅游、娱乐，不得收受礼品、现金、有价证券等，不得向采购人或者供应商报销应当由个人承担的费用。</w:t>
      </w:r>
    </w:p>
    <w:p w14:paraId="3E63DDFA">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4 质疑的提出与接收</w:t>
      </w:r>
    </w:p>
    <w:p w14:paraId="263DC9EC">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4.1 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14:paraId="7E87A260">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4.2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6DEB142E">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超出法定质疑期的、重复提出的、分次提出的或内容、形式不符合《政府采购质疑和投诉办法》的，质疑供应商将依法承担不利后果。</w:t>
      </w:r>
    </w:p>
    <w:p w14:paraId="7447D25B">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4.3 采购代理机构质疑函接收部门、联系电话和通讯地址，见供应商须知前附表。</w:t>
      </w:r>
    </w:p>
    <w:p w14:paraId="191863C4">
      <w:pPr>
        <w:snapToGrid w:val="0"/>
        <w:spacing w:line="360" w:lineRule="auto"/>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5 需要补充的其他内容</w:t>
      </w:r>
    </w:p>
    <w:p w14:paraId="3DD1D8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sectPr>
          <w:pgSz w:w="11911" w:h="16849"/>
          <w:pgMar w:top="1134" w:right="1134" w:bottom="1134" w:left="1134" w:header="720" w:footer="720" w:gutter="0"/>
          <w:pgNumType w:fmt="decimal"/>
          <w:cols w:space="0" w:num="1"/>
          <w:rtlGutter w:val="0"/>
          <w:docGrid w:type="lines" w:linePitch="317" w:charSpace="0"/>
        </w:sectPr>
      </w:pPr>
      <w:r>
        <w:rPr>
          <w:rFonts w:hint="eastAsia" w:ascii="仿宋" w:hAnsi="仿宋" w:eastAsia="仿宋" w:cs="仿宋"/>
          <w:color w:val="auto"/>
          <w:sz w:val="28"/>
          <w:szCs w:val="28"/>
          <w:highlight w:val="none"/>
          <w:lang w:bidi="ar"/>
        </w:rPr>
        <w:t>需要补充的其他内容，见供应商须知前附表。</w:t>
      </w:r>
    </w:p>
    <w:p w14:paraId="0B1595AE">
      <w:pPr>
        <w:pStyle w:val="7"/>
        <w:numPr>
          <w:ilvl w:val="0"/>
          <w:numId w:val="2"/>
        </w:numPr>
        <w:bidi w:val="0"/>
        <w:jc w:val="center"/>
        <w:rPr>
          <w:rFonts w:hint="eastAsia" w:ascii="仿宋" w:hAnsi="仿宋" w:eastAsia="仿宋" w:cs="仿宋"/>
          <w:highlight w:val="none"/>
          <w:lang w:val="en-US" w:eastAsia="zh-CN"/>
        </w:rPr>
      </w:pPr>
      <w:bookmarkStart w:id="395" w:name="_Toc16573"/>
      <w:bookmarkEnd w:id="395"/>
      <w:bookmarkStart w:id="396" w:name="_bookmark2"/>
      <w:bookmarkEnd w:id="396"/>
      <w:bookmarkStart w:id="397" w:name="_Toc24709"/>
      <w:bookmarkStart w:id="398" w:name="_Toc1342"/>
      <w:r>
        <w:rPr>
          <w:rFonts w:hint="eastAsia" w:ascii="仿宋" w:hAnsi="仿宋" w:eastAsia="仿宋" w:cs="仿宋"/>
          <w:highlight w:val="none"/>
          <w:lang w:val="en-US" w:eastAsia="zh-CN"/>
        </w:rPr>
        <w:t>采购需求</w:t>
      </w:r>
      <w:bookmarkEnd w:id="397"/>
      <w:bookmarkEnd w:id="398"/>
    </w:p>
    <w:p w14:paraId="355611A8">
      <w:pPr>
        <w:numPr>
          <w:ilvl w:val="0"/>
          <w:numId w:val="0"/>
        </w:numPr>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工程名称：淮南市工人文化宫（山南）1- 7层装修装饰项目</w:t>
      </w:r>
    </w:p>
    <w:p w14:paraId="7FDC1281">
      <w:pPr>
        <w:numPr>
          <w:ilvl w:val="0"/>
          <w:numId w:val="3"/>
        </w:num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工程概况</w:t>
      </w:r>
    </w:p>
    <w:p w14:paraId="3BB70A57">
      <w:pPr>
        <w:numPr>
          <w:ilvl w:val="0"/>
          <w:numId w:val="0"/>
        </w:numPr>
        <w:spacing w:line="360" w:lineRule="auto"/>
        <w:ind w:left="480" w:leftChars="0"/>
        <w:rPr>
          <w:rFonts w:hint="eastAsia" w:ascii="仿宋" w:hAnsi="仿宋" w:eastAsia="仿宋" w:cs="仿宋"/>
          <w:bCs/>
          <w:sz w:val="28"/>
          <w:szCs w:val="28"/>
          <w:highlight w:val="none"/>
        </w:rPr>
      </w:pPr>
      <w:r>
        <w:rPr>
          <w:rFonts w:hint="eastAsia" w:ascii="仿宋" w:hAnsi="仿宋" w:eastAsia="仿宋" w:cs="仿宋"/>
          <w:bCs/>
          <w:kern w:val="2"/>
          <w:sz w:val="28"/>
          <w:szCs w:val="28"/>
          <w:lang w:val="en-US" w:eastAsia="zh-CN" w:bidi="ar-SA"/>
        </w:rPr>
        <w:t>1、</w:t>
      </w:r>
      <w:r>
        <w:rPr>
          <w:rFonts w:hint="eastAsia" w:ascii="仿宋" w:hAnsi="仿宋" w:eastAsia="仿宋" w:cs="仿宋"/>
          <w:bCs/>
          <w:sz w:val="28"/>
          <w:szCs w:val="28"/>
          <w:highlight w:val="none"/>
        </w:rPr>
        <w:t>工程地点：淮南市</w:t>
      </w:r>
      <w:r>
        <w:rPr>
          <w:rFonts w:hint="eastAsia" w:ascii="仿宋" w:hAnsi="仿宋" w:eastAsia="仿宋" w:cs="仿宋"/>
          <w:bCs/>
          <w:sz w:val="28"/>
          <w:szCs w:val="28"/>
          <w:highlight w:val="none"/>
          <w:lang w:val="en-US" w:eastAsia="zh-CN"/>
        </w:rPr>
        <w:t>山南</w:t>
      </w:r>
    </w:p>
    <w:p w14:paraId="6DFF870B">
      <w:pPr>
        <w:pStyle w:val="38"/>
        <w:numPr>
          <w:ilvl w:val="0"/>
          <w:numId w:val="0"/>
        </w:numPr>
        <w:spacing w:line="360" w:lineRule="auto"/>
        <w:ind w:firstLine="420" w:firstLineChars="0"/>
        <w:rPr>
          <w:rFonts w:hint="eastAsia" w:ascii="仿宋" w:hAnsi="仿宋" w:eastAsia="仿宋" w:cs="仿宋"/>
          <w:bCs/>
          <w:sz w:val="28"/>
          <w:szCs w:val="28"/>
          <w:highlight w:val="none"/>
          <w:lang w:val="en-US" w:eastAsia="zh-CN"/>
        </w:rPr>
      </w:pPr>
      <w:r>
        <w:rPr>
          <w:rFonts w:hint="eastAsia" w:ascii="仿宋" w:hAnsi="仿宋" w:eastAsia="仿宋" w:cs="仿宋"/>
          <w:bCs/>
          <w:kern w:val="2"/>
          <w:sz w:val="28"/>
          <w:szCs w:val="28"/>
          <w:lang w:val="en-US" w:eastAsia="zh-CN" w:bidi="ar-SA"/>
        </w:rPr>
        <w:t>2、</w:t>
      </w:r>
      <w:r>
        <w:rPr>
          <w:rFonts w:hint="eastAsia" w:ascii="仿宋" w:hAnsi="仿宋" w:eastAsia="仿宋" w:cs="仿宋"/>
          <w:bCs/>
          <w:sz w:val="28"/>
          <w:szCs w:val="28"/>
          <w:highlight w:val="none"/>
        </w:rPr>
        <w:t>工程</w:t>
      </w:r>
      <w:r>
        <w:rPr>
          <w:rFonts w:hint="eastAsia" w:ascii="仿宋" w:hAnsi="仿宋" w:eastAsia="仿宋" w:cs="仿宋"/>
          <w:bCs/>
          <w:sz w:val="28"/>
          <w:szCs w:val="28"/>
          <w:highlight w:val="none"/>
          <w:lang w:val="en-US" w:eastAsia="zh-CN"/>
        </w:rPr>
        <w:t>概况</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详见招标文件、设计图纸等。</w:t>
      </w:r>
    </w:p>
    <w:p w14:paraId="1ABDF9BE">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二、编制依据</w:t>
      </w:r>
    </w:p>
    <w:p w14:paraId="57483830">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1、本项目施工招标文件；</w:t>
      </w:r>
    </w:p>
    <w:p w14:paraId="6C9F4B51">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2、设计图纸及变更图纸；</w:t>
      </w:r>
    </w:p>
    <w:p w14:paraId="6CD907D8">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清单以</w:t>
      </w:r>
      <w:r>
        <w:rPr>
          <w:rFonts w:hint="eastAsia" w:ascii="仿宋" w:hAnsi="仿宋" w:eastAsia="仿宋" w:cs="仿宋"/>
          <w:bCs/>
          <w:sz w:val="28"/>
          <w:szCs w:val="28"/>
          <w:highlight w:val="none"/>
        </w:rPr>
        <w:t>《建设工程工程量清单计价规范》（GB50500-2013）、《2018安徽省建设工程工程量清单计价办法》</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组价执行</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2018《安徽省市政工程计价定额》、2018《安徽省园林绿化工程计价定额》、2018《安徽省仿古建筑工程计价定额》</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2018《安徽省</w:t>
      </w:r>
      <w:r>
        <w:rPr>
          <w:rFonts w:hint="eastAsia" w:ascii="仿宋" w:hAnsi="仿宋" w:eastAsia="仿宋" w:cs="仿宋"/>
          <w:bCs/>
          <w:sz w:val="28"/>
          <w:szCs w:val="28"/>
          <w:highlight w:val="none"/>
          <w:lang w:val="en-US" w:eastAsia="zh-CN"/>
        </w:rPr>
        <w:t>公用计价</w:t>
      </w:r>
      <w:r>
        <w:rPr>
          <w:rFonts w:hint="eastAsia" w:ascii="仿宋" w:hAnsi="仿宋" w:eastAsia="仿宋" w:cs="仿宋"/>
          <w:bCs/>
          <w:sz w:val="28"/>
          <w:szCs w:val="28"/>
          <w:highlight w:val="none"/>
        </w:rPr>
        <w:t>定额》</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 xml:space="preserve"> 2018《安徽省建筑工程计价定额》、2018《安徽省建筑工程计价定额共用册》、2018《安徽省装饰装修工程计价定额》、2018《安徽省安装工程计价定额》、及其配套的2018《安徽省建设工程费用定额》、2018《安徽省建设工程施工机械台班费用编制规则》等。</w:t>
      </w:r>
    </w:p>
    <w:p w14:paraId="378A9E34">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三、编制范围</w:t>
      </w:r>
    </w:p>
    <w:p w14:paraId="24A0E268">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按照所给施工图纸及变更图纸</w:t>
      </w:r>
      <w:r>
        <w:rPr>
          <w:rFonts w:hint="eastAsia" w:ascii="仿宋" w:hAnsi="仿宋" w:eastAsia="仿宋" w:cs="仿宋"/>
          <w:bCs/>
          <w:sz w:val="28"/>
          <w:szCs w:val="28"/>
          <w:highlight w:val="none"/>
          <w:lang w:eastAsia="zh-CN"/>
        </w:rPr>
        <w:t>、答疑</w:t>
      </w:r>
      <w:r>
        <w:rPr>
          <w:rFonts w:hint="eastAsia" w:ascii="仿宋" w:hAnsi="仿宋" w:eastAsia="仿宋" w:cs="仿宋"/>
          <w:bCs/>
          <w:sz w:val="28"/>
          <w:szCs w:val="28"/>
          <w:highlight w:val="none"/>
        </w:rPr>
        <w:t>，图纸所示内容内所有工程；</w:t>
      </w:r>
    </w:p>
    <w:p w14:paraId="6517CBA7">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四、人工、材料价格的取定</w:t>
      </w:r>
    </w:p>
    <w:p w14:paraId="45FB02A1">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1、人工单价：按淮南市</w:t>
      </w:r>
      <w:r>
        <w:rPr>
          <w:rFonts w:hint="eastAsia" w:ascii="仿宋" w:hAnsi="仿宋" w:eastAsia="仿宋" w:cs="仿宋"/>
          <w:bCs/>
          <w:sz w:val="28"/>
          <w:szCs w:val="28"/>
          <w:highlight w:val="none"/>
          <w:lang w:val="en-US" w:eastAsia="zh-CN"/>
        </w:rPr>
        <w:t>2025年</w:t>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季度人工单价15</w:t>
      </w:r>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rPr>
        <w:t>元/工日；</w:t>
      </w:r>
    </w:p>
    <w:p w14:paraId="4AC26BDB">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2、材料价格：采用20</w:t>
      </w:r>
      <w:r>
        <w:rPr>
          <w:rFonts w:hint="eastAsia" w:ascii="仿宋" w:hAnsi="仿宋" w:eastAsia="仿宋" w:cs="仿宋"/>
          <w:bCs/>
          <w:sz w:val="28"/>
          <w:szCs w:val="28"/>
          <w:highlight w:val="none"/>
          <w:lang w:val="en-US" w:eastAsia="zh-CN"/>
        </w:rPr>
        <w:t>25</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04</w:t>
      </w:r>
      <w:r>
        <w:rPr>
          <w:rFonts w:hint="eastAsia" w:ascii="仿宋" w:hAnsi="仿宋" w:eastAsia="仿宋" w:cs="仿宋"/>
          <w:bCs/>
          <w:sz w:val="28"/>
          <w:szCs w:val="28"/>
          <w:highlight w:val="none"/>
        </w:rPr>
        <w:t>月淮南《工程造价》月刊信息价格；</w:t>
      </w:r>
    </w:p>
    <w:p w14:paraId="2336272E">
      <w:pPr>
        <w:spacing w:line="360" w:lineRule="auto"/>
        <w:ind w:firstLine="48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五、税金</w:t>
      </w:r>
    </w:p>
    <w:p w14:paraId="268B63CD">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税金按（</w:t>
      </w:r>
      <w:r>
        <w:rPr>
          <w:rFonts w:hint="eastAsia" w:ascii="仿宋" w:hAnsi="仿宋" w:eastAsia="仿宋" w:cs="仿宋"/>
          <w:bCs/>
          <w:sz w:val="28"/>
          <w:szCs w:val="28"/>
          <w:highlight w:val="none"/>
          <w:lang w:val="en-US" w:eastAsia="zh-CN"/>
        </w:rPr>
        <w:t>造价</w:t>
      </w:r>
      <w:r>
        <w:rPr>
          <w:rFonts w:hint="eastAsia" w:ascii="仿宋" w:hAnsi="仿宋" w:eastAsia="仿宋" w:cs="仿宋"/>
          <w:bCs/>
          <w:sz w:val="28"/>
          <w:szCs w:val="28"/>
          <w:highlight w:val="none"/>
        </w:rPr>
        <w:t>〔201</w:t>
      </w:r>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7</w:t>
      </w:r>
      <w:r>
        <w:rPr>
          <w:rFonts w:hint="eastAsia" w:ascii="仿宋" w:hAnsi="仿宋" w:eastAsia="仿宋" w:cs="仿宋"/>
          <w:bCs/>
          <w:sz w:val="28"/>
          <w:szCs w:val="28"/>
          <w:highlight w:val="none"/>
        </w:rPr>
        <w:t>号）规定以</w:t>
      </w:r>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rPr>
        <w:t>%计入造价。</w:t>
      </w:r>
    </w:p>
    <w:p w14:paraId="3B0816FC">
      <w:pPr>
        <w:numPr>
          <w:ilvl w:val="0"/>
          <w:numId w:val="4"/>
        </w:numPr>
        <w:spacing w:line="360" w:lineRule="auto"/>
        <w:ind w:firstLine="48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不可竞争费</w:t>
      </w:r>
    </w:p>
    <w:p w14:paraId="1D4408F5">
      <w:pPr>
        <w:numPr>
          <w:ilvl w:val="0"/>
          <w:numId w:val="0"/>
        </w:numPr>
        <w:spacing w:line="360" w:lineRule="auto"/>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执行造价[2021]42号规定。</w:t>
      </w:r>
    </w:p>
    <w:p w14:paraId="7CD9A59F">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七、</w:t>
      </w:r>
      <w:r>
        <w:rPr>
          <w:rFonts w:hint="eastAsia" w:ascii="仿宋" w:hAnsi="仿宋" w:eastAsia="仿宋" w:cs="仿宋"/>
          <w:b/>
          <w:bCs w:val="0"/>
          <w:sz w:val="28"/>
          <w:szCs w:val="28"/>
          <w:highlight w:val="none"/>
          <w:lang w:val="en-US" w:eastAsia="zh-CN"/>
        </w:rPr>
        <w:t>暂列金额</w:t>
      </w:r>
    </w:p>
    <w:p w14:paraId="42F44F8E">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本工程</w:t>
      </w:r>
      <w:r>
        <w:rPr>
          <w:rFonts w:hint="eastAsia" w:ascii="仿宋" w:hAnsi="仿宋" w:eastAsia="仿宋" w:cs="仿宋"/>
          <w:bCs/>
          <w:sz w:val="28"/>
          <w:szCs w:val="28"/>
          <w:highlight w:val="none"/>
          <w:lang w:val="en-US" w:eastAsia="zh-CN"/>
        </w:rPr>
        <w:t>暂列金额</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0</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元。</w:t>
      </w:r>
    </w:p>
    <w:p w14:paraId="0D0C1FE4">
      <w:pPr>
        <w:numPr>
          <w:ilvl w:val="0"/>
          <w:numId w:val="0"/>
        </w:numPr>
        <w:spacing w:line="360" w:lineRule="auto"/>
        <w:ind w:left="480" w:left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投标报价说明</w:t>
      </w:r>
    </w:p>
    <w:p w14:paraId="4F21156E">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1、工程量清单列出的每个细目已包括涉及与该细目有关的全部工程内容，投标人应将工程量清单与招标文件、合同通用条款、专用条款以及技术规范和图纸一起对照阅读。</w:t>
      </w:r>
    </w:p>
    <w:p w14:paraId="1D7584DF">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2、除非合同另有规定，工程量清单中每一项单价均应已包括完成相应该项目的工程内容所需的所有人工、设备、材料和其他伴随服务所发生的所有费用。</w:t>
      </w:r>
    </w:p>
    <w:p w14:paraId="3675910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3、投标人应填写工程量清单中所有工程细目的价格，凡技术规范和图纸中注明的工程内容，如在清单中未列项，均应视为包含在其它相关项目中。</w:t>
      </w:r>
    </w:p>
    <w:p w14:paraId="7D70A47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4、清单描述不明确的，以施工图设计文件和相关施工验收规范、图集为准；清单与图纸技术标准不一致的，以较优的技术标准为准。</w:t>
      </w:r>
    </w:p>
    <w:p w14:paraId="49445C46">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5、投标人对工程量清单有任何疑问，应于招标文件规定的疑问提交截止日前提出，否则视为投标人认可该工程量清单已包括了招标范围的全部内容。</w:t>
      </w:r>
    </w:p>
    <w:p w14:paraId="26CCD447">
      <w:pPr>
        <w:keepNext w:val="0"/>
        <w:keepLines w:val="0"/>
        <w:pageBreakBefore w:val="0"/>
        <w:widowControl/>
        <w:suppressLineNumbers w:val="0"/>
        <w:kinsoku/>
        <w:wordWrap/>
        <w:overflowPunct/>
        <w:topLinePunct w:val="0"/>
        <w:autoSpaceDE/>
        <w:autoSpaceDN/>
        <w:bidi w:val="0"/>
        <w:snapToGrid/>
        <w:spacing w:line="360" w:lineRule="auto"/>
        <w:ind w:firstLine="562" w:firstLineChars="200"/>
        <w:jc w:val="left"/>
        <w:textAlignment w:val="auto"/>
        <w:rPr>
          <w:rFonts w:hint="default" w:ascii="仿宋" w:hAnsi="仿宋" w:eastAsia="仿宋" w:cs="仿宋"/>
          <w:b/>
          <w:bCs w:val="0"/>
          <w:color w:val="auto"/>
          <w:kern w:val="0"/>
          <w:sz w:val="28"/>
          <w:szCs w:val="28"/>
          <w:highlight w:val="none"/>
          <w:lang w:val="en-US" w:eastAsia="zh-CN" w:bidi="ar-SA"/>
        </w:rPr>
      </w:pPr>
      <w:r>
        <w:rPr>
          <w:rFonts w:hint="eastAsia" w:ascii="仿宋" w:hAnsi="仿宋" w:eastAsia="仿宋" w:cs="仿宋"/>
          <w:b/>
          <w:bCs w:val="0"/>
          <w:color w:val="auto"/>
          <w:kern w:val="0"/>
          <w:sz w:val="28"/>
          <w:szCs w:val="28"/>
          <w:highlight w:val="none"/>
          <w:lang w:val="en-US" w:eastAsia="zh-CN" w:bidi="ar-SA"/>
        </w:rPr>
        <w:t>九、其他要求</w:t>
      </w:r>
    </w:p>
    <w:p w14:paraId="1EA42FC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en-US" w:eastAsia="zh-CN" w:bidi="ar-SA"/>
        </w:rPr>
        <w:t xml:space="preserve">1.供应商需提供类似项目业绩。 </w:t>
      </w:r>
    </w:p>
    <w:p w14:paraId="5493161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en-US" w:eastAsia="zh-CN" w:bidi="ar-SA"/>
        </w:rPr>
        <w:t>2.人员配置：供应商需为本项目拟派的项目负责人、技术负责人、施工员、安全员、质量员。</w:t>
      </w:r>
    </w:p>
    <w:p w14:paraId="6EF345D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en-US" w:eastAsia="zh-CN" w:bidi="ar-SA"/>
        </w:rPr>
        <w:t>3.本项目为装修装饰项目，</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本项目为装修装饰项目，购买的装修装饰材料需符合国家规范要求，同时必须得到业主认可</w:t>
      </w:r>
      <w:r>
        <w:rPr>
          <w:rFonts w:hint="eastAsia" w:ascii="仿宋" w:hAnsi="仿宋" w:eastAsia="仿宋" w:cs="仿宋"/>
          <w:bCs/>
          <w:color w:val="auto"/>
          <w:kern w:val="0"/>
          <w:sz w:val="28"/>
          <w:szCs w:val="28"/>
          <w:highlight w:val="none"/>
          <w:lang w:val="en-US" w:eastAsia="zh-CN" w:bidi="ar-SA"/>
        </w:rPr>
        <w:t>，具体详见附件清单。</w:t>
      </w:r>
    </w:p>
    <w:p w14:paraId="0B1966C7">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val="0"/>
          <w:color w:val="auto"/>
          <w:kern w:val="0"/>
          <w:sz w:val="28"/>
          <w:szCs w:val="28"/>
          <w:highlight w:val="none"/>
          <w:lang w:val="en-US" w:eastAsia="zh-CN" w:bidi="ar-SA"/>
        </w:rPr>
      </w:pPr>
      <w:r>
        <w:rPr>
          <w:rFonts w:hint="eastAsia" w:ascii="仿宋" w:hAnsi="仿宋" w:eastAsia="仿宋" w:cs="仿宋"/>
          <w:b/>
          <w:bCs w:val="0"/>
          <w:color w:val="auto"/>
          <w:kern w:val="0"/>
          <w:sz w:val="28"/>
          <w:szCs w:val="28"/>
          <w:highlight w:val="none"/>
          <w:lang w:val="en-US" w:eastAsia="zh-CN" w:bidi="ar-SA"/>
        </w:rPr>
        <w:t>注：上述其他要求不作为资格评审项，相关评审内容在技术标中提供。</w:t>
      </w:r>
    </w:p>
    <w:p w14:paraId="1B9035CD">
      <w:pPr>
        <w:rPr>
          <w:rFonts w:ascii="仿宋" w:hAnsi="仿宋" w:eastAsia="仿宋" w:cs="仿宋"/>
          <w:b/>
          <w:bCs/>
          <w:color w:val="000000"/>
          <w:kern w:val="0"/>
          <w:sz w:val="28"/>
          <w:szCs w:val="28"/>
          <w:highlight w:val="none"/>
          <w:lang w:val="en-US" w:eastAsia="zh-CN" w:bidi="ar"/>
        </w:rPr>
      </w:pPr>
      <w:r>
        <w:rPr>
          <w:rFonts w:ascii="仿宋" w:hAnsi="仿宋" w:eastAsia="仿宋" w:cs="仿宋"/>
          <w:b/>
          <w:bCs/>
          <w:color w:val="000000"/>
          <w:kern w:val="0"/>
          <w:sz w:val="28"/>
          <w:szCs w:val="28"/>
          <w:highlight w:val="none"/>
          <w:lang w:val="en-US" w:eastAsia="zh-CN" w:bidi="ar"/>
        </w:rPr>
        <w:br w:type="page"/>
      </w:r>
    </w:p>
    <w:p w14:paraId="161B5925">
      <w:pPr>
        <w:keepNext w:val="0"/>
        <w:keepLines w:val="0"/>
        <w:widowControl/>
        <w:suppressLineNumbers w:val="0"/>
        <w:ind w:firstLine="1405" w:firstLineChars="500"/>
        <w:jc w:val="left"/>
        <w:rPr>
          <w:rFonts w:hint="eastAsia" w:ascii="仿宋" w:hAnsi="仿宋" w:eastAsia="仿宋" w:cs="仿宋"/>
          <w:sz w:val="28"/>
          <w:szCs w:val="28"/>
          <w:highlight w:val="none"/>
        </w:rPr>
      </w:pPr>
      <w:r>
        <w:rPr>
          <w:rFonts w:ascii="仿宋" w:hAnsi="仿宋" w:eastAsia="仿宋" w:cs="仿宋"/>
          <w:b/>
          <w:bCs/>
          <w:color w:val="000000"/>
          <w:kern w:val="0"/>
          <w:sz w:val="28"/>
          <w:szCs w:val="28"/>
          <w:highlight w:val="none"/>
          <w:lang w:val="en-US" w:eastAsia="zh-CN" w:bidi="ar"/>
        </w:rPr>
        <w:t xml:space="preserve">工程施工（设计）图、工程量清单（另附） </w:t>
      </w:r>
      <w:bookmarkStart w:id="399" w:name="_Toc144969068"/>
      <w:bookmarkStart w:id="400" w:name="_Toc144907725"/>
    </w:p>
    <w:p w14:paraId="028DAECE">
      <w:pPr>
        <w:rPr>
          <w:rFonts w:hint="eastAsia" w:ascii="仿宋" w:hAnsi="仿宋" w:eastAsia="仿宋" w:cs="仿宋"/>
          <w:highlight w:val="none"/>
          <w:lang w:val="en-US" w:eastAsia="zh-CN"/>
        </w:rPr>
      </w:pPr>
      <w:bookmarkStart w:id="401" w:name="_Toc19688"/>
    </w:p>
    <w:p w14:paraId="3DD6B716">
      <w:pPr>
        <w:rPr>
          <w:rFonts w:hint="eastAsia" w:ascii="仿宋" w:hAnsi="仿宋" w:eastAsia="仿宋" w:cs="仿宋"/>
          <w:highlight w:val="none"/>
          <w:lang w:val="en-US" w:eastAsia="zh-CN"/>
        </w:rPr>
      </w:pPr>
    </w:p>
    <w:p w14:paraId="57ABA489">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见附件</w:t>
      </w:r>
      <w:r>
        <w:rPr>
          <w:rFonts w:hint="eastAsia" w:ascii="仿宋" w:hAnsi="仿宋" w:eastAsia="仿宋" w:cs="仿宋"/>
          <w:highlight w:val="none"/>
          <w:lang w:val="en-US" w:eastAsia="zh-CN"/>
        </w:rPr>
        <w:br w:type="page"/>
      </w:r>
    </w:p>
    <w:p w14:paraId="786C4FD6">
      <w:pPr>
        <w:pStyle w:val="7"/>
        <w:bidi w:val="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第五章 评审方法和标准</w:t>
      </w:r>
      <w:bookmarkEnd w:id="399"/>
      <w:bookmarkEnd w:id="400"/>
      <w:bookmarkEnd w:id="401"/>
      <w:bookmarkStart w:id="402" w:name="_Toc144907726"/>
      <w:bookmarkStart w:id="403" w:name="_Toc143443749"/>
      <w:bookmarkStart w:id="404" w:name="_Toc144969069"/>
    </w:p>
    <w:bookmarkEnd w:id="402"/>
    <w:bookmarkEnd w:id="403"/>
    <w:bookmarkEnd w:id="404"/>
    <w:p w14:paraId="05C56F4F">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一、总则</w:t>
      </w:r>
    </w:p>
    <w:p w14:paraId="4E5AE5A7">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05" w:name="_Toc144969070"/>
      <w:bookmarkStart w:id="406" w:name="_Toc143443750"/>
      <w:bookmarkStart w:id="407" w:name="_Toc144907727"/>
      <w:r>
        <w:rPr>
          <w:rFonts w:hint="eastAsia" w:ascii="仿宋" w:hAnsi="仿宋" w:eastAsia="仿宋" w:cs="仿宋"/>
          <w:color w:val="000000"/>
          <w:kern w:val="0"/>
          <w:sz w:val="28"/>
          <w:szCs w:val="28"/>
          <w:highlight w:val="none"/>
          <w:lang w:bidi="ar"/>
        </w:rPr>
        <w:t>第一条 为了做好本项目招标评标工作，保证项目评审工作的正常有序进行，维护采购人、供应商的合法权益，依据《中华人民共和国政府采购法》等相关法律法规，本着公开、公平、公正的原则，制定评标办法。</w:t>
      </w:r>
      <w:bookmarkEnd w:id="405"/>
      <w:bookmarkEnd w:id="406"/>
      <w:bookmarkEnd w:id="407"/>
    </w:p>
    <w:p w14:paraId="5486ED36">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08" w:name="_Toc144969071"/>
      <w:bookmarkStart w:id="409" w:name="_Toc144907728"/>
      <w:bookmarkStart w:id="410" w:name="_Toc143443751"/>
      <w:r>
        <w:rPr>
          <w:rFonts w:hint="eastAsia" w:ascii="仿宋" w:hAnsi="仿宋" w:eastAsia="仿宋" w:cs="仿宋"/>
          <w:color w:val="000000"/>
          <w:kern w:val="0"/>
          <w:sz w:val="28"/>
          <w:szCs w:val="28"/>
          <w:highlight w:val="none"/>
          <w:lang w:bidi="ar"/>
        </w:rPr>
        <w:t>第二条 本项目采用综合评分对供应商标书的比较方法。</w:t>
      </w:r>
      <w:bookmarkEnd w:id="408"/>
      <w:bookmarkEnd w:id="409"/>
      <w:bookmarkEnd w:id="410"/>
    </w:p>
    <w:p w14:paraId="5F51B9C0">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11" w:name="_Toc144907729"/>
      <w:bookmarkStart w:id="412" w:name="_Toc144969072"/>
      <w:bookmarkStart w:id="413" w:name="_Toc143443752"/>
      <w:r>
        <w:rPr>
          <w:rFonts w:hint="eastAsia" w:ascii="仿宋" w:hAnsi="仿宋" w:eastAsia="仿宋" w:cs="仿宋"/>
          <w:color w:val="000000"/>
          <w:kern w:val="0"/>
          <w:sz w:val="28"/>
          <w:szCs w:val="28"/>
          <w:highlight w:val="none"/>
          <w:lang w:bidi="ar"/>
        </w:rPr>
        <w:t>第三条 采购人负责抽取组织不少于3人组成的磋商小组，负责本项目的评标工作。</w:t>
      </w:r>
      <w:bookmarkEnd w:id="411"/>
      <w:bookmarkEnd w:id="412"/>
      <w:bookmarkEnd w:id="413"/>
    </w:p>
    <w:p w14:paraId="66526614">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第四条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26CDBEE">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b/>
          <w:bCs/>
          <w:color w:val="000000"/>
          <w:kern w:val="0"/>
          <w:sz w:val="28"/>
          <w:szCs w:val="28"/>
          <w:highlight w:val="none"/>
          <w:lang w:bidi="ar"/>
        </w:rPr>
      </w:pPr>
      <w:bookmarkStart w:id="414" w:name="_Toc144969073"/>
      <w:bookmarkStart w:id="415" w:name="_Toc143443753"/>
      <w:bookmarkStart w:id="416" w:name="_Toc144907730"/>
      <w:r>
        <w:rPr>
          <w:rFonts w:hint="eastAsia" w:ascii="仿宋" w:hAnsi="仿宋" w:eastAsia="仿宋" w:cs="仿宋"/>
          <w:b/>
          <w:bCs/>
          <w:color w:val="000000"/>
          <w:kern w:val="0"/>
          <w:sz w:val="28"/>
          <w:szCs w:val="28"/>
          <w:highlight w:val="none"/>
          <w:lang w:bidi="ar"/>
        </w:rPr>
        <w:t>二、评审方法和标准</w:t>
      </w:r>
      <w:bookmarkEnd w:id="414"/>
      <w:bookmarkEnd w:id="415"/>
      <w:bookmarkEnd w:id="416"/>
    </w:p>
    <w:p w14:paraId="11F54202">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17" w:name="_Toc144907731"/>
      <w:bookmarkStart w:id="418" w:name="_Toc144969074"/>
      <w:bookmarkStart w:id="419" w:name="_Toc143443754"/>
      <w:r>
        <w:rPr>
          <w:rFonts w:hint="eastAsia" w:ascii="仿宋" w:hAnsi="仿宋" w:eastAsia="仿宋" w:cs="仿宋"/>
          <w:color w:val="000000"/>
          <w:kern w:val="0"/>
          <w:sz w:val="28"/>
          <w:szCs w:val="28"/>
          <w:highlight w:val="none"/>
          <w:lang w:bidi="ar"/>
        </w:rPr>
        <w:t>第五条 磋商工作于开标后进行。磋商小组应认真研究磋商文件，至少应了解和熟悉以下内容：</w:t>
      </w:r>
      <w:bookmarkEnd w:id="417"/>
      <w:bookmarkEnd w:id="418"/>
      <w:bookmarkEnd w:id="419"/>
    </w:p>
    <w:p w14:paraId="60C68306">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20" w:name="_Toc144907732"/>
      <w:bookmarkStart w:id="421" w:name="_Toc143443755"/>
      <w:bookmarkStart w:id="422" w:name="_Toc144969075"/>
      <w:r>
        <w:rPr>
          <w:rFonts w:hint="eastAsia" w:ascii="仿宋" w:hAnsi="仿宋" w:eastAsia="仿宋" w:cs="仿宋"/>
          <w:color w:val="000000"/>
          <w:kern w:val="0"/>
          <w:sz w:val="28"/>
          <w:szCs w:val="28"/>
          <w:highlight w:val="none"/>
          <w:lang w:bidi="ar"/>
        </w:rPr>
        <w:t>（一）采购的目标；</w:t>
      </w:r>
      <w:bookmarkEnd w:id="420"/>
      <w:bookmarkEnd w:id="421"/>
      <w:bookmarkEnd w:id="422"/>
    </w:p>
    <w:p w14:paraId="40CE3FA2">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23" w:name="_Toc144969076"/>
      <w:bookmarkStart w:id="424" w:name="_Toc143443756"/>
      <w:bookmarkStart w:id="425" w:name="_Toc144907733"/>
      <w:r>
        <w:rPr>
          <w:rFonts w:hint="eastAsia" w:ascii="仿宋" w:hAnsi="仿宋" w:eastAsia="仿宋" w:cs="仿宋"/>
          <w:color w:val="000000"/>
          <w:kern w:val="0"/>
          <w:sz w:val="28"/>
          <w:szCs w:val="28"/>
          <w:highlight w:val="none"/>
          <w:lang w:bidi="ar"/>
        </w:rPr>
        <w:t>（二）采购项目的范围和性质；</w:t>
      </w:r>
      <w:bookmarkEnd w:id="423"/>
      <w:bookmarkEnd w:id="424"/>
      <w:bookmarkEnd w:id="425"/>
    </w:p>
    <w:p w14:paraId="6C0781C0">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26" w:name="_Toc143443757"/>
      <w:bookmarkStart w:id="427" w:name="_Toc144907734"/>
      <w:bookmarkStart w:id="428" w:name="_Toc144969077"/>
      <w:r>
        <w:rPr>
          <w:rFonts w:hint="eastAsia" w:ascii="仿宋" w:hAnsi="仿宋" w:eastAsia="仿宋" w:cs="仿宋"/>
          <w:color w:val="000000"/>
          <w:kern w:val="0"/>
          <w:sz w:val="28"/>
          <w:szCs w:val="28"/>
          <w:highlight w:val="none"/>
          <w:lang w:bidi="ar"/>
        </w:rPr>
        <w:t>（三）磋商文件中规定的主要技术要求、标准和商务条款；</w:t>
      </w:r>
      <w:bookmarkEnd w:id="426"/>
      <w:bookmarkEnd w:id="427"/>
      <w:bookmarkEnd w:id="428"/>
    </w:p>
    <w:p w14:paraId="50E76122">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29" w:name="_Toc143443758"/>
      <w:bookmarkStart w:id="430" w:name="_Toc144969078"/>
      <w:bookmarkStart w:id="431" w:name="_Toc144907735"/>
      <w:r>
        <w:rPr>
          <w:rFonts w:hint="eastAsia" w:ascii="仿宋" w:hAnsi="仿宋" w:eastAsia="仿宋" w:cs="仿宋"/>
          <w:color w:val="000000"/>
          <w:kern w:val="0"/>
          <w:sz w:val="28"/>
          <w:szCs w:val="28"/>
          <w:highlight w:val="none"/>
          <w:lang w:bidi="ar"/>
        </w:rPr>
        <w:t>（四）磋商文件规定的评标标准、评标方法和在评标过程中考虑的相关因素。</w:t>
      </w:r>
      <w:bookmarkEnd w:id="429"/>
      <w:bookmarkEnd w:id="430"/>
      <w:bookmarkEnd w:id="431"/>
      <w:r>
        <w:rPr>
          <w:rFonts w:hint="eastAsia" w:ascii="仿宋" w:hAnsi="仿宋" w:eastAsia="仿宋" w:cs="仿宋"/>
          <w:color w:val="000000"/>
          <w:kern w:val="0"/>
          <w:sz w:val="28"/>
          <w:szCs w:val="28"/>
          <w:highlight w:val="none"/>
          <w:lang w:bidi="ar"/>
        </w:rPr>
        <w:t xml:space="preserve"> </w:t>
      </w:r>
    </w:p>
    <w:p w14:paraId="70C26916">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32" w:name="_Toc144969079"/>
      <w:bookmarkStart w:id="433" w:name="_Toc143443759"/>
      <w:bookmarkStart w:id="434" w:name="_Toc144907736"/>
      <w:r>
        <w:rPr>
          <w:rFonts w:hint="eastAsia" w:ascii="仿宋" w:hAnsi="仿宋" w:eastAsia="仿宋" w:cs="仿宋"/>
          <w:color w:val="000000"/>
          <w:kern w:val="0"/>
          <w:sz w:val="28"/>
          <w:szCs w:val="28"/>
          <w:highlight w:val="none"/>
          <w:lang w:bidi="ar"/>
        </w:rPr>
        <w:t>第六条 有效投标应符合以下原则：</w:t>
      </w:r>
      <w:bookmarkEnd w:id="432"/>
      <w:bookmarkEnd w:id="433"/>
      <w:bookmarkEnd w:id="434"/>
    </w:p>
    <w:p w14:paraId="692AA564">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35" w:name="_Toc144969080"/>
      <w:bookmarkStart w:id="436" w:name="_Toc144907737"/>
      <w:bookmarkStart w:id="437" w:name="_Toc143443760"/>
      <w:r>
        <w:rPr>
          <w:rFonts w:hint="eastAsia" w:ascii="仿宋" w:hAnsi="仿宋" w:eastAsia="仿宋" w:cs="仿宋"/>
          <w:color w:val="000000"/>
          <w:kern w:val="0"/>
          <w:sz w:val="28"/>
          <w:szCs w:val="28"/>
          <w:highlight w:val="none"/>
          <w:lang w:bidi="ar"/>
        </w:rPr>
        <w:t>（一）满足磋商文件的实质性要求；</w:t>
      </w:r>
      <w:bookmarkEnd w:id="435"/>
      <w:bookmarkEnd w:id="436"/>
      <w:bookmarkEnd w:id="437"/>
    </w:p>
    <w:p w14:paraId="37DFA771">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38" w:name="_Toc144907738"/>
      <w:bookmarkStart w:id="439" w:name="_Toc144969081"/>
      <w:bookmarkStart w:id="440" w:name="_Toc143443761"/>
      <w:r>
        <w:rPr>
          <w:rFonts w:hint="eastAsia" w:ascii="仿宋" w:hAnsi="仿宋" w:eastAsia="仿宋" w:cs="仿宋"/>
          <w:color w:val="000000"/>
          <w:kern w:val="0"/>
          <w:sz w:val="28"/>
          <w:szCs w:val="28"/>
          <w:highlight w:val="none"/>
          <w:lang w:bidi="ar"/>
        </w:rPr>
        <w:t>（二）无重大偏离、保留或采购人不能接受的附加条件；</w:t>
      </w:r>
      <w:bookmarkEnd w:id="438"/>
      <w:bookmarkEnd w:id="439"/>
      <w:bookmarkEnd w:id="440"/>
    </w:p>
    <w:p w14:paraId="51066E23">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41" w:name="_Toc143443762"/>
      <w:bookmarkStart w:id="442" w:name="_Toc144969082"/>
      <w:bookmarkStart w:id="443" w:name="_Toc144907739"/>
      <w:r>
        <w:rPr>
          <w:rFonts w:hint="eastAsia" w:ascii="仿宋" w:hAnsi="仿宋" w:eastAsia="仿宋" w:cs="仿宋"/>
          <w:color w:val="000000"/>
          <w:kern w:val="0"/>
          <w:sz w:val="28"/>
          <w:szCs w:val="28"/>
          <w:highlight w:val="none"/>
          <w:lang w:bidi="ar"/>
        </w:rPr>
        <w:t>（三）通过投标有效性评审；</w:t>
      </w:r>
      <w:bookmarkEnd w:id="441"/>
      <w:bookmarkEnd w:id="442"/>
      <w:bookmarkEnd w:id="443"/>
      <w:r>
        <w:rPr>
          <w:rFonts w:hint="eastAsia" w:ascii="仿宋" w:hAnsi="仿宋" w:eastAsia="仿宋" w:cs="仿宋"/>
          <w:color w:val="000000"/>
          <w:kern w:val="0"/>
          <w:sz w:val="28"/>
          <w:szCs w:val="28"/>
          <w:highlight w:val="none"/>
          <w:lang w:bidi="ar"/>
        </w:rPr>
        <w:t xml:space="preserve"> </w:t>
      </w:r>
    </w:p>
    <w:p w14:paraId="5C3A8F98">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44" w:name="_Toc143443763"/>
      <w:bookmarkStart w:id="445" w:name="_Toc144969083"/>
      <w:bookmarkStart w:id="446" w:name="_Toc144907740"/>
      <w:r>
        <w:rPr>
          <w:rFonts w:hint="eastAsia" w:ascii="仿宋" w:hAnsi="仿宋" w:eastAsia="仿宋" w:cs="仿宋"/>
          <w:color w:val="000000"/>
          <w:kern w:val="0"/>
          <w:sz w:val="28"/>
          <w:szCs w:val="28"/>
          <w:highlight w:val="none"/>
          <w:lang w:bidi="ar"/>
        </w:rPr>
        <w:t>（四）磋商小组依据磋商文件认定的其他原则。</w:t>
      </w:r>
      <w:bookmarkEnd w:id="444"/>
      <w:bookmarkEnd w:id="445"/>
      <w:bookmarkEnd w:id="446"/>
    </w:p>
    <w:p w14:paraId="2D122052">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第七条 评审中，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于询标后判定为不符合磋商文件要求的磋商响应文件，磋商小组要提出充足的否定理由。最终对供应商的评审结论分为通过和未通过。</w:t>
      </w:r>
    </w:p>
    <w:p w14:paraId="2076EEC9">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highlight w:val="none"/>
          <w:lang w:bidi="ar"/>
        </w:rPr>
      </w:pPr>
      <w:bookmarkStart w:id="447" w:name="_Toc144907741"/>
      <w:bookmarkStart w:id="448" w:name="_Toc143443764"/>
      <w:bookmarkStart w:id="449" w:name="_Toc144969084"/>
      <w:r>
        <w:rPr>
          <w:rFonts w:hint="eastAsia" w:ascii="仿宋" w:hAnsi="仿宋" w:eastAsia="仿宋" w:cs="仿宋"/>
          <w:color w:val="000000"/>
          <w:kern w:val="0"/>
          <w:sz w:val="28"/>
          <w:szCs w:val="28"/>
          <w:highlight w:val="none"/>
          <w:lang w:bidi="ar"/>
        </w:rPr>
        <w:t>第八条 本项目实行网上开评标，网上上传加密的电子版磋商响应文件，采用“不见面开标”方式，远程解密、远程在线开标、远程二次或多轮报价。初步评审通过的供应商在（规定时间30分钟）网上进行二次或多轮报价，如未二轮报价或多轮报价，则以首轮报价为准，无特殊情况二次报价视为最终报价。如因供应商原因未及时报价，供应商自行承担一切后果。磋商小组认为投标供应商的投标报价明显低于其他通过符合性审查投标供应商的投标报价，有可能影响产品质量或者不能诚信履约的，应当要求其在评标现场合理的时间内提供书面说明，必要时提交相关证明材料；投标供应商不能证明其报价合理性的，磋商小组应当将其作为无效投标处理。</w:t>
      </w:r>
      <w:bookmarkEnd w:id="447"/>
      <w:bookmarkEnd w:id="448"/>
      <w:bookmarkEnd w:id="449"/>
    </w:p>
    <w:p w14:paraId="19E7ED13">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bookmarkStart w:id="450" w:name="_Toc144969085"/>
      <w:bookmarkStart w:id="451" w:name="_Toc143443765"/>
      <w:bookmarkStart w:id="452" w:name="_Toc144907742"/>
      <w:r>
        <w:rPr>
          <w:rFonts w:hint="eastAsia" w:ascii="仿宋" w:hAnsi="仿宋" w:eastAsia="仿宋" w:cs="仿宋"/>
          <w:color w:val="000000"/>
          <w:kern w:val="0"/>
          <w:sz w:val="28"/>
          <w:szCs w:val="28"/>
          <w:highlight w:val="none"/>
          <w:lang w:bidi="ar"/>
        </w:rPr>
        <w:t>第九条  磋商小组按下表内容进行投标有效性评审</w:t>
      </w:r>
      <w:bookmarkEnd w:id="450"/>
      <w:bookmarkEnd w:id="451"/>
      <w:bookmarkEnd w:id="452"/>
      <w:r>
        <w:rPr>
          <w:rFonts w:hint="eastAsia" w:ascii="仿宋" w:hAnsi="仿宋" w:eastAsia="仿宋" w:cs="仿宋"/>
          <w:color w:val="000000"/>
          <w:kern w:val="0"/>
          <w:sz w:val="28"/>
          <w:szCs w:val="28"/>
          <w:highlight w:val="none"/>
          <w:lang w:bidi="ar"/>
        </w:rPr>
        <w:t>。</w:t>
      </w:r>
      <w:bookmarkStart w:id="453" w:name="_Toc16781"/>
      <w:bookmarkStart w:id="454" w:name="_Toc11313"/>
      <w:bookmarkStart w:id="455" w:name="_Toc27896"/>
      <w:bookmarkStart w:id="456" w:name="_Toc5888"/>
      <w:bookmarkStart w:id="457" w:name="_Toc5600"/>
      <w:bookmarkStart w:id="458" w:name="_Toc18796"/>
      <w:bookmarkStart w:id="459" w:name="_Toc79"/>
    </w:p>
    <w:p w14:paraId="6C23DB2F">
      <w:pPr>
        <w:pStyle w:val="7"/>
        <w:widowControl/>
        <w:spacing w:line="380" w:lineRule="exact"/>
        <w:ind w:right="-9" w:firstLine="562" w:firstLineChars="200"/>
        <w:jc w:val="both"/>
        <w:rPr>
          <w:rFonts w:hint="eastAsia" w:ascii="仿宋" w:hAnsi="仿宋" w:eastAsia="仿宋" w:cs="仿宋"/>
          <w:b/>
          <w:bCs/>
          <w:sz w:val="28"/>
          <w:szCs w:val="28"/>
          <w:highlight w:val="none"/>
          <w:lang w:val="en-US" w:eastAsia="zh-CN"/>
        </w:rPr>
      </w:pPr>
      <w:bookmarkStart w:id="460" w:name="_Toc844"/>
      <w:r>
        <w:rPr>
          <w:rFonts w:hint="eastAsia" w:ascii="仿宋" w:hAnsi="仿宋" w:eastAsia="仿宋" w:cs="仿宋"/>
          <w:sz w:val="28"/>
          <w:szCs w:val="28"/>
          <w:highlight w:val="none"/>
          <w:lang w:val="en-US" w:eastAsia="zh-CN"/>
        </w:rPr>
        <w:t>1.初步评审（资格、符合性评审）</w:t>
      </w:r>
      <w:bookmarkEnd w:id="460"/>
    </w:p>
    <w:p w14:paraId="77607151">
      <w:pPr>
        <w:pStyle w:val="7"/>
        <w:widowControl/>
        <w:spacing w:line="380" w:lineRule="exact"/>
        <w:ind w:right="-9" w:firstLine="3092" w:firstLineChars="1100"/>
        <w:outlineLvl w:val="9"/>
        <w:rPr>
          <w:rFonts w:hint="eastAsia" w:ascii="仿宋" w:hAnsi="仿宋" w:eastAsia="仿宋" w:cs="仿宋"/>
          <w:sz w:val="28"/>
          <w:szCs w:val="28"/>
          <w:highlight w:val="none"/>
          <w:lang w:val="en-US" w:eastAsia="zh-CN"/>
        </w:rPr>
      </w:pPr>
    </w:p>
    <w:bookmarkEnd w:id="453"/>
    <w:bookmarkEnd w:id="454"/>
    <w:bookmarkEnd w:id="455"/>
    <w:bookmarkEnd w:id="456"/>
    <w:bookmarkEnd w:id="457"/>
    <w:bookmarkEnd w:id="458"/>
    <w:bookmarkEnd w:id="459"/>
    <w:tbl>
      <w:tblPr>
        <w:tblStyle w:val="22"/>
        <w:tblW w:w="9679" w:type="dxa"/>
        <w:jc w:val="center"/>
        <w:tblLayout w:type="fixed"/>
        <w:tblCellMar>
          <w:top w:w="0" w:type="dxa"/>
          <w:left w:w="0" w:type="dxa"/>
          <w:bottom w:w="0" w:type="dxa"/>
          <w:right w:w="0" w:type="dxa"/>
        </w:tblCellMar>
      </w:tblPr>
      <w:tblGrid>
        <w:gridCol w:w="642"/>
        <w:gridCol w:w="2918"/>
        <w:gridCol w:w="4418"/>
        <w:gridCol w:w="1701"/>
      </w:tblGrid>
      <w:tr w14:paraId="55848A65">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577C80C6">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61" w:name="_Toc26515"/>
            <w:bookmarkEnd w:id="461"/>
            <w:bookmarkStart w:id="462" w:name="_Toc9271"/>
            <w:bookmarkEnd w:id="462"/>
            <w:bookmarkStart w:id="463" w:name="_Toc144969086"/>
            <w:bookmarkStart w:id="464" w:name="_Toc143443766"/>
            <w:bookmarkStart w:id="465" w:name="_Toc144907743"/>
            <w:bookmarkStart w:id="466" w:name="_Toc32298"/>
            <w:r>
              <w:rPr>
                <w:rFonts w:hint="eastAsia" w:ascii="仿宋" w:hAnsi="仿宋" w:eastAsia="仿宋" w:cs="仿宋"/>
                <w:b w:val="0"/>
                <w:bCs w:val="0"/>
                <w:kern w:val="2"/>
                <w:sz w:val="28"/>
                <w:szCs w:val="28"/>
                <w:highlight w:val="none"/>
                <w:lang w:val="en-US" w:eastAsia="zh-CN" w:bidi="ar-SA"/>
              </w:rPr>
              <w:t>序号</w:t>
            </w:r>
            <w:bookmarkEnd w:id="463"/>
            <w:bookmarkEnd w:id="464"/>
            <w:bookmarkEnd w:id="465"/>
            <w:bookmarkEnd w:id="466"/>
          </w:p>
        </w:tc>
        <w:tc>
          <w:tcPr>
            <w:tcW w:w="2918" w:type="dxa"/>
            <w:tcBorders>
              <w:top w:val="single" w:color="000000" w:sz="4" w:space="0"/>
              <w:left w:val="single" w:color="000000" w:sz="4" w:space="0"/>
              <w:bottom w:val="single" w:color="000000" w:sz="4" w:space="0"/>
              <w:right w:val="single" w:color="000000" w:sz="4" w:space="0"/>
            </w:tcBorders>
            <w:vAlign w:val="center"/>
          </w:tcPr>
          <w:p w14:paraId="5FCF7B4F">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67" w:name="_Toc16735"/>
            <w:bookmarkStart w:id="468" w:name="_Toc144969087"/>
            <w:bookmarkStart w:id="469" w:name="_Toc143443767"/>
            <w:bookmarkStart w:id="470" w:name="_Toc144907744"/>
            <w:r>
              <w:rPr>
                <w:rFonts w:hint="eastAsia" w:ascii="仿宋" w:hAnsi="仿宋" w:eastAsia="仿宋" w:cs="仿宋"/>
                <w:b w:val="0"/>
                <w:bCs w:val="0"/>
                <w:kern w:val="2"/>
                <w:sz w:val="28"/>
                <w:szCs w:val="28"/>
                <w:highlight w:val="none"/>
                <w:lang w:val="en-US" w:eastAsia="zh-CN" w:bidi="ar-SA"/>
              </w:rPr>
              <w:t>指标名称</w:t>
            </w:r>
            <w:bookmarkEnd w:id="467"/>
            <w:bookmarkEnd w:id="468"/>
            <w:bookmarkEnd w:id="469"/>
            <w:bookmarkEnd w:id="470"/>
          </w:p>
        </w:tc>
        <w:tc>
          <w:tcPr>
            <w:tcW w:w="4418" w:type="dxa"/>
            <w:tcBorders>
              <w:top w:val="single" w:color="000000" w:sz="4" w:space="0"/>
              <w:left w:val="single" w:color="000000" w:sz="4" w:space="0"/>
              <w:bottom w:val="single" w:color="000000" w:sz="4" w:space="0"/>
              <w:right w:val="single" w:color="000000" w:sz="4" w:space="0"/>
            </w:tcBorders>
            <w:vAlign w:val="center"/>
          </w:tcPr>
          <w:p w14:paraId="2697BD93">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71" w:name="_Toc29312"/>
            <w:bookmarkStart w:id="472" w:name="_Toc143443768"/>
            <w:bookmarkStart w:id="473" w:name="_Toc144969088"/>
            <w:bookmarkStart w:id="474" w:name="_Toc144907745"/>
            <w:r>
              <w:rPr>
                <w:rFonts w:hint="eastAsia" w:ascii="仿宋" w:hAnsi="仿宋" w:eastAsia="仿宋" w:cs="仿宋"/>
                <w:b w:val="0"/>
                <w:bCs w:val="0"/>
                <w:kern w:val="2"/>
                <w:sz w:val="28"/>
                <w:szCs w:val="28"/>
                <w:highlight w:val="none"/>
                <w:lang w:val="en-US" w:eastAsia="zh-CN" w:bidi="ar-SA"/>
              </w:rPr>
              <w:t>指标要求</w:t>
            </w:r>
            <w:bookmarkEnd w:id="471"/>
            <w:bookmarkEnd w:id="472"/>
            <w:bookmarkEnd w:id="473"/>
            <w:bookmarkEnd w:id="474"/>
          </w:p>
        </w:tc>
        <w:tc>
          <w:tcPr>
            <w:tcW w:w="1701" w:type="dxa"/>
            <w:tcBorders>
              <w:top w:val="single" w:color="000000" w:sz="4" w:space="0"/>
              <w:left w:val="single" w:color="000000" w:sz="4" w:space="0"/>
              <w:bottom w:val="single" w:color="000000" w:sz="4" w:space="0"/>
              <w:right w:val="single" w:color="000000" w:sz="4" w:space="0"/>
            </w:tcBorders>
            <w:vAlign w:val="center"/>
          </w:tcPr>
          <w:p w14:paraId="33740D24">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75" w:name="_Toc143443769"/>
            <w:bookmarkStart w:id="476" w:name="_Toc144969089"/>
            <w:bookmarkStart w:id="477" w:name="_Toc27723"/>
            <w:bookmarkStart w:id="478" w:name="_Toc144907746"/>
            <w:r>
              <w:rPr>
                <w:rFonts w:hint="eastAsia" w:ascii="仿宋" w:hAnsi="仿宋" w:eastAsia="仿宋" w:cs="仿宋"/>
                <w:b w:val="0"/>
                <w:bCs w:val="0"/>
                <w:kern w:val="2"/>
                <w:sz w:val="28"/>
                <w:szCs w:val="28"/>
                <w:highlight w:val="none"/>
                <w:lang w:val="en-US" w:eastAsia="zh-CN" w:bidi="ar-SA"/>
              </w:rPr>
              <w:t>是否通过</w:t>
            </w:r>
            <w:bookmarkEnd w:id="475"/>
            <w:bookmarkEnd w:id="476"/>
            <w:bookmarkEnd w:id="477"/>
            <w:bookmarkEnd w:id="478"/>
          </w:p>
        </w:tc>
      </w:tr>
      <w:tr w14:paraId="61DABEB4">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B8CFABF">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79" w:name="_Toc144969090"/>
            <w:bookmarkStart w:id="480" w:name="_Toc7953"/>
            <w:bookmarkStart w:id="481" w:name="_Toc143443770"/>
            <w:bookmarkStart w:id="482" w:name="_Toc144907747"/>
            <w:r>
              <w:rPr>
                <w:rFonts w:hint="eastAsia" w:ascii="仿宋" w:hAnsi="仿宋" w:eastAsia="仿宋" w:cs="仿宋"/>
                <w:b w:val="0"/>
                <w:bCs w:val="0"/>
                <w:kern w:val="2"/>
                <w:sz w:val="28"/>
                <w:szCs w:val="28"/>
                <w:highlight w:val="none"/>
                <w:lang w:val="en-US" w:eastAsia="zh-CN" w:bidi="ar-SA"/>
              </w:rPr>
              <w:t>1</w:t>
            </w:r>
            <w:bookmarkEnd w:id="479"/>
            <w:bookmarkEnd w:id="480"/>
            <w:bookmarkEnd w:id="481"/>
            <w:bookmarkEnd w:id="482"/>
          </w:p>
        </w:tc>
        <w:tc>
          <w:tcPr>
            <w:tcW w:w="2918" w:type="dxa"/>
            <w:tcBorders>
              <w:top w:val="single" w:color="000000" w:sz="4" w:space="0"/>
              <w:left w:val="single" w:color="000000" w:sz="4" w:space="0"/>
              <w:bottom w:val="single" w:color="000000" w:sz="4" w:space="0"/>
              <w:right w:val="single" w:color="000000" w:sz="4" w:space="0"/>
            </w:tcBorders>
            <w:vAlign w:val="center"/>
          </w:tcPr>
          <w:p w14:paraId="30003CDD">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83" w:name="_Toc143443771"/>
            <w:bookmarkStart w:id="484" w:name="_Toc144969091"/>
            <w:bookmarkStart w:id="485" w:name="_Toc3902"/>
            <w:bookmarkStart w:id="486" w:name="_Toc144907748"/>
            <w:r>
              <w:rPr>
                <w:rFonts w:hint="eastAsia" w:ascii="仿宋" w:hAnsi="仿宋" w:eastAsia="仿宋" w:cs="仿宋"/>
                <w:b w:val="0"/>
                <w:bCs w:val="0"/>
                <w:kern w:val="2"/>
                <w:sz w:val="28"/>
                <w:szCs w:val="28"/>
                <w:highlight w:val="none"/>
                <w:lang w:val="en-US" w:eastAsia="zh-CN" w:bidi="ar-SA"/>
              </w:rPr>
              <w:t>磋商响应文件签字盖章</w:t>
            </w:r>
            <w:bookmarkEnd w:id="483"/>
            <w:bookmarkEnd w:id="484"/>
            <w:bookmarkEnd w:id="485"/>
            <w:bookmarkEnd w:id="486"/>
          </w:p>
        </w:tc>
        <w:tc>
          <w:tcPr>
            <w:tcW w:w="4418" w:type="dxa"/>
            <w:tcBorders>
              <w:top w:val="single" w:color="000000" w:sz="4" w:space="0"/>
              <w:left w:val="single" w:color="000000" w:sz="4" w:space="0"/>
              <w:bottom w:val="single" w:color="000000" w:sz="4" w:space="0"/>
              <w:right w:val="single" w:color="000000" w:sz="4" w:space="0"/>
            </w:tcBorders>
            <w:vAlign w:val="center"/>
          </w:tcPr>
          <w:p w14:paraId="280AE074">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87" w:name="_Toc144969092"/>
            <w:bookmarkStart w:id="488" w:name="_Toc143443772"/>
            <w:bookmarkStart w:id="489" w:name="_Toc144907749"/>
            <w:bookmarkStart w:id="490" w:name="_Toc10856"/>
            <w:r>
              <w:rPr>
                <w:rFonts w:hint="eastAsia" w:ascii="仿宋" w:hAnsi="仿宋" w:eastAsia="仿宋" w:cs="仿宋"/>
                <w:b w:val="0"/>
                <w:bCs w:val="0"/>
                <w:kern w:val="2"/>
                <w:sz w:val="28"/>
                <w:szCs w:val="28"/>
                <w:highlight w:val="none"/>
                <w:lang w:val="en-US" w:eastAsia="zh-CN" w:bidi="ar-SA"/>
              </w:rPr>
              <w:t>符合磋商文件签字或盖章要求</w:t>
            </w:r>
            <w:bookmarkEnd w:id="487"/>
            <w:bookmarkEnd w:id="488"/>
            <w:bookmarkEnd w:id="489"/>
            <w:bookmarkEnd w:id="490"/>
          </w:p>
        </w:tc>
        <w:tc>
          <w:tcPr>
            <w:tcW w:w="1701" w:type="dxa"/>
            <w:tcBorders>
              <w:top w:val="single" w:color="000000" w:sz="4" w:space="0"/>
              <w:left w:val="single" w:color="000000" w:sz="4" w:space="0"/>
              <w:bottom w:val="single" w:color="000000" w:sz="4" w:space="0"/>
              <w:right w:val="single" w:color="000000" w:sz="4" w:space="0"/>
            </w:tcBorders>
            <w:vAlign w:val="center"/>
          </w:tcPr>
          <w:p w14:paraId="7B97091B">
            <w:pPr>
              <w:pStyle w:val="7"/>
              <w:spacing w:line="440" w:lineRule="exact"/>
              <w:ind w:left="6" w:right="31" w:rightChars="15" w:hanging="6"/>
              <w:jc w:val="center"/>
              <w:outlineLvl w:val="9"/>
              <w:rPr>
                <w:rFonts w:hint="eastAsia" w:ascii="仿宋" w:hAnsi="仿宋" w:eastAsia="仿宋" w:cs="仿宋"/>
                <w:b w:val="0"/>
                <w:bCs w:val="0"/>
                <w:kern w:val="2"/>
                <w:sz w:val="28"/>
                <w:szCs w:val="28"/>
                <w:highlight w:val="none"/>
                <w:lang w:val="en-US" w:eastAsia="zh-CN" w:bidi="ar-SA"/>
              </w:rPr>
            </w:pPr>
          </w:p>
        </w:tc>
      </w:tr>
      <w:tr w14:paraId="617EFE99">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06CDFFEB">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91" w:name="_Toc144969093"/>
            <w:bookmarkStart w:id="492" w:name="_Toc17990"/>
            <w:bookmarkStart w:id="493" w:name="_Toc144907750"/>
            <w:bookmarkStart w:id="494" w:name="_Toc143443773"/>
            <w:r>
              <w:rPr>
                <w:rFonts w:hint="eastAsia" w:ascii="仿宋" w:hAnsi="仿宋" w:eastAsia="仿宋" w:cs="仿宋"/>
                <w:b w:val="0"/>
                <w:bCs w:val="0"/>
                <w:kern w:val="2"/>
                <w:sz w:val="28"/>
                <w:szCs w:val="28"/>
                <w:highlight w:val="none"/>
                <w:lang w:val="en-US" w:eastAsia="zh-CN" w:bidi="ar-SA"/>
              </w:rPr>
              <w:t>2</w:t>
            </w:r>
            <w:bookmarkEnd w:id="491"/>
            <w:bookmarkEnd w:id="492"/>
            <w:bookmarkEnd w:id="493"/>
            <w:bookmarkEnd w:id="494"/>
          </w:p>
        </w:tc>
        <w:tc>
          <w:tcPr>
            <w:tcW w:w="2918" w:type="dxa"/>
            <w:tcBorders>
              <w:top w:val="single" w:color="000000" w:sz="4" w:space="0"/>
              <w:left w:val="single" w:color="000000" w:sz="4" w:space="0"/>
              <w:bottom w:val="single" w:color="000000" w:sz="4" w:space="0"/>
              <w:right w:val="single" w:color="000000" w:sz="4" w:space="0"/>
            </w:tcBorders>
            <w:vAlign w:val="center"/>
          </w:tcPr>
          <w:p w14:paraId="2A008082">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495" w:name="_Toc22856"/>
            <w:bookmarkStart w:id="496" w:name="_Toc144907751"/>
            <w:bookmarkStart w:id="497" w:name="_Toc144969094"/>
            <w:bookmarkStart w:id="498" w:name="_Toc143443774"/>
            <w:r>
              <w:rPr>
                <w:rFonts w:hint="eastAsia" w:ascii="仿宋" w:hAnsi="仿宋" w:eastAsia="仿宋" w:cs="仿宋"/>
                <w:b w:val="0"/>
                <w:bCs w:val="0"/>
                <w:kern w:val="2"/>
                <w:sz w:val="28"/>
                <w:szCs w:val="28"/>
                <w:highlight w:val="none"/>
                <w:lang w:val="en-US" w:eastAsia="zh-CN" w:bidi="ar-SA"/>
              </w:rPr>
              <w:t>投标报价</w:t>
            </w:r>
            <w:bookmarkEnd w:id="495"/>
            <w:bookmarkEnd w:id="496"/>
            <w:bookmarkEnd w:id="497"/>
            <w:bookmarkEnd w:id="498"/>
          </w:p>
        </w:tc>
        <w:tc>
          <w:tcPr>
            <w:tcW w:w="4418" w:type="dxa"/>
            <w:tcBorders>
              <w:top w:val="single" w:color="000000" w:sz="4" w:space="0"/>
              <w:left w:val="single" w:color="000000" w:sz="4" w:space="0"/>
              <w:bottom w:val="single" w:color="000000" w:sz="4" w:space="0"/>
              <w:right w:val="single" w:color="000000" w:sz="4" w:space="0"/>
            </w:tcBorders>
            <w:vAlign w:val="center"/>
          </w:tcPr>
          <w:p w14:paraId="6EF13B75">
            <w:pPr>
              <w:pStyle w:val="7"/>
              <w:spacing w:line="440" w:lineRule="exact"/>
              <w:ind w:right="-109" w:rightChars="-52"/>
              <w:jc w:val="center"/>
              <w:rPr>
                <w:rFonts w:hint="eastAsia" w:ascii="仿宋" w:hAnsi="仿宋" w:eastAsia="仿宋" w:cs="仿宋"/>
                <w:b w:val="0"/>
                <w:bCs w:val="0"/>
                <w:kern w:val="2"/>
                <w:sz w:val="28"/>
                <w:szCs w:val="28"/>
                <w:highlight w:val="none"/>
                <w:lang w:val="en-US" w:eastAsia="zh-CN" w:bidi="ar-SA"/>
              </w:rPr>
            </w:pPr>
            <w:bookmarkStart w:id="499" w:name="_Toc143443775"/>
            <w:bookmarkStart w:id="500" w:name="_Toc144969095"/>
            <w:bookmarkStart w:id="501" w:name="_Toc8286"/>
            <w:bookmarkStart w:id="502" w:name="_Toc144907752"/>
            <w:r>
              <w:rPr>
                <w:rFonts w:hint="eastAsia" w:ascii="仿宋" w:hAnsi="仿宋" w:eastAsia="仿宋" w:cs="仿宋"/>
                <w:b w:val="0"/>
                <w:bCs w:val="0"/>
                <w:kern w:val="2"/>
                <w:sz w:val="28"/>
                <w:szCs w:val="28"/>
                <w:highlight w:val="none"/>
                <w:lang w:val="en-US" w:eastAsia="zh-CN" w:bidi="ar-SA"/>
              </w:rPr>
              <w:t>不得超出预算价</w:t>
            </w:r>
            <w:bookmarkEnd w:id="499"/>
            <w:bookmarkEnd w:id="500"/>
            <w:bookmarkEnd w:id="501"/>
            <w:bookmarkEnd w:id="502"/>
          </w:p>
        </w:tc>
        <w:tc>
          <w:tcPr>
            <w:tcW w:w="1701" w:type="dxa"/>
            <w:tcBorders>
              <w:top w:val="single" w:color="000000" w:sz="4" w:space="0"/>
              <w:left w:val="single" w:color="000000" w:sz="4" w:space="0"/>
              <w:bottom w:val="single" w:color="000000" w:sz="4" w:space="0"/>
              <w:right w:val="single" w:color="000000" w:sz="4" w:space="0"/>
            </w:tcBorders>
            <w:vAlign w:val="center"/>
          </w:tcPr>
          <w:p w14:paraId="710B594B">
            <w:pPr>
              <w:pStyle w:val="7"/>
              <w:spacing w:line="440" w:lineRule="exact"/>
              <w:ind w:left="6" w:right="-109" w:rightChars="-52" w:hanging="6"/>
              <w:jc w:val="center"/>
              <w:outlineLvl w:val="9"/>
              <w:rPr>
                <w:rFonts w:hint="eastAsia" w:ascii="仿宋" w:hAnsi="仿宋" w:eastAsia="仿宋" w:cs="仿宋"/>
                <w:b w:val="0"/>
                <w:bCs w:val="0"/>
                <w:kern w:val="2"/>
                <w:sz w:val="28"/>
                <w:szCs w:val="28"/>
                <w:highlight w:val="none"/>
                <w:lang w:val="en-US" w:eastAsia="zh-CN" w:bidi="ar-SA"/>
              </w:rPr>
            </w:pPr>
          </w:p>
        </w:tc>
      </w:tr>
      <w:tr w14:paraId="40940F48">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7776B30E">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03" w:name="_Toc144907753"/>
            <w:bookmarkStart w:id="504" w:name="_Toc144969096"/>
            <w:bookmarkStart w:id="505" w:name="_Toc28411"/>
            <w:bookmarkStart w:id="506" w:name="_Toc143443776"/>
            <w:r>
              <w:rPr>
                <w:rFonts w:hint="eastAsia" w:ascii="仿宋" w:hAnsi="仿宋" w:eastAsia="仿宋" w:cs="仿宋"/>
                <w:b w:val="0"/>
                <w:bCs w:val="0"/>
                <w:kern w:val="2"/>
                <w:sz w:val="28"/>
                <w:szCs w:val="28"/>
                <w:highlight w:val="none"/>
                <w:lang w:val="en-US" w:eastAsia="zh-CN" w:bidi="ar-SA"/>
              </w:rPr>
              <w:t>3</w:t>
            </w:r>
            <w:bookmarkEnd w:id="503"/>
            <w:bookmarkEnd w:id="504"/>
            <w:bookmarkEnd w:id="505"/>
            <w:bookmarkEnd w:id="506"/>
          </w:p>
        </w:tc>
        <w:tc>
          <w:tcPr>
            <w:tcW w:w="2918" w:type="dxa"/>
            <w:tcBorders>
              <w:top w:val="single" w:color="000000" w:sz="4" w:space="0"/>
              <w:left w:val="single" w:color="000000" w:sz="4" w:space="0"/>
              <w:bottom w:val="single" w:color="000000" w:sz="4" w:space="0"/>
              <w:right w:val="single" w:color="000000" w:sz="4" w:space="0"/>
            </w:tcBorders>
            <w:vAlign w:val="center"/>
          </w:tcPr>
          <w:p w14:paraId="589D88DC">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07" w:name="_Toc144907754"/>
            <w:bookmarkStart w:id="508" w:name="_Toc27386"/>
            <w:bookmarkStart w:id="509" w:name="_Toc143443777"/>
            <w:bookmarkStart w:id="510" w:name="_Toc144969097"/>
            <w:r>
              <w:rPr>
                <w:rFonts w:hint="eastAsia" w:ascii="仿宋" w:hAnsi="仿宋" w:eastAsia="仿宋" w:cs="仿宋"/>
                <w:b w:val="0"/>
                <w:bCs w:val="0"/>
                <w:kern w:val="2"/>
                <w:sz w:val="28"/>
                <w:szCs w:val="28"/>
                <w:highlight w:val="none"/>
                <w:lang w:val="en-US" w:eastAsia="zh-CN" w:bidi="ar-SA"/>
              </w:rPr>
              <w:t>供应商资格</w:t>
            </w:r>
            <w:bookmarkEnd w:id="507"/>
            <w:bookmarkEnd w:id="508"/>
            <w:bookmarkEnd w:id="509"/>
            <w:bookmarkEnd w:id="510"/>
          </w:p>
        </w:tc>
        <w:tc>
          <w:tcPr>
            <w:tcW w:w="4418" w:type="dxa"/>
            <w:tcBorders>
              <w:top w:val="single" w:color="000000" w:sz="4" w:space="0"/>
              <w:left w:val="single" w:color="000000" w:sz="4" w:space="0"/>
              <w:bottom w:val="single" w:color="000000" w:sz="4" w:space="0"/>
              <w:right w:val="single" w:color="000000" w:sz="4" w:space="0"/>
            </w:tcBorders>
            <w:vAlign w:val="center"/>
          </w:tcPr>
          <w:p w14:paraId="7B66E843">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11" w:name="_Toc144907755"/>
            <w:bookmarkStart w:id="512" w:name="_Toc143443778"/>
            <w:bookmarkStart w:id="513" w:name="_Toc144969098"/>
            <w:bookmarkStart w:id="514" w:name="_Toc1323"/>
            <w:r>
              <w:rPr>
                <w:rFonts w:hint="eastAsia" w:ascii="仿宋" w:hAnsi="仿宋" w:eastAsia="仿宋" w:cs="仿宋"/>
                <w:b w:val="0"/>
                <w:bCs w:val="0"/>
                <w:kern w:val="2"/>
                <w:sz w:val="28"/>
                <w:szCs w:val="28"/>
                <w:highlight w:val="none"/>
                <w:lang w:val="en-US" w:eastAsia="zh-CN" w:bidi="ar-SA"/>
              </w:rPr>
              <w:t>符合磋商公告要求</w:t>
            </w:r>
            <w:bookmarkEnd w:id="511"/>
            <w:bookmarkEnd w:id="512"/>
            <w:bookmarkEnd w:id="513"/>
            <w:bookmarkEnd w:id="514"/>
          </w:p>
        </w:tc>
        <w:tc>
          <w:tcPr>
            <w:tcW w:w="1701" w:type="dxa"/>
            <w:tcBorders>
              <w:top w:val="single" w:color="000000" w:sz="4" w:space="0"/>
              <w:left w:val="single" w:color="000000" w:sz="4" w:space="0"/>
              <w:bottom w:val="single" w:color="000000" w:sz="4" w:space="0"/>
              <w:right w:val="single" w:color="000000" w:sz="4" w:space="0"/>
            </w:tcBorders>
            <w:vAlign w:val="center"/>
          </w:tcPr>
          <w:p w14:paraId="60A47D9D">
            <w:pPr>
              <w:pStyle w:val="7"/>
              <w:spacing w:line="440" w:lineRule="exact"/>
              <w:ind w:left="6" w:right="-109" w:rightChars="-52" w:hanging="6"/>
              <w:jc w:val="center"/>
              <w:outlineLvl w:val="9"/>
              <w:rPr>
                <w:rFonts w:hint="eastAsia" w:ascii="仿宋" w:hAnsi="仿宋" w:eastAsia="仿宋" w:cs="仿宋"/>
                <w:b w:val="0"/>
                <w:bCs w:val="0"/>
                <w:kern w:val="2"/>
                <w:sz w:val="28"/>
                <w:szCs w:val="28"/>
                <w:highlight w:val="none"/>
                <w:lang w:val="en-US" w:eastAsia="zh-CN" w:bidi="ar-SA"/>
              </w:rPr>
            </w:pPr>
          </w:p>
        </w:tc>
      </w:tr>
      <w:tr w14:paraId="7932092F">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884EFA8">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15" w:name="_Toc31484"/>
            <w:bookmarkStart w:id="516" w:name="_Toc144907756"/>
            <w:bookmarkStart w:id="517" w:name="_Toc144969099"/>
            <w:bookmarkStart w:id="518" w:name="_Toc143443779"/>
            <w:r>
              <w:rPr>
                <w:rFonts w:hint="eastAsia" w:ascii="仿宋" w:hAnsi="仿宋" w:eastAsia="仿宋" w:cs="仿宋"/>
                <w:b w:val="0"/>
                <w:bCs w:val="0"/>
                <w:kern w:val="2"/>
                <w:sz w:val="28"/>
                <w:szCs w:val="28"/>
                <w:highlight w:val="none"/>
                <w:lang w:val="en-US" w:eastAsia="zh-CN" w:bidi="ar-SA"/>
              </w:rPr>
              <w:t>4</w:t>
            </w:r>
            <w:bookmarkEnd w:id="515"/>
            <w:bookmarkEnd w:id="516"/>
            <w:bookmarkEnd w:id="517"/>
            <w:bookmarkEnd w:id="518"/>
          </w:p>
        </w:tc>
        <w:tc>
          <w:tcPr>
            <w:tcW w:w="2918" w:type="dxa"/>
            <w:tcBorders>
              <w:top w:val="single" w:color="000000" w:sz="4" w:space="0"/>
              <w:left w:val="single" w:color="000000" w:sz="4" w:space="0"/>
              <w:bottom w:val="single" w:color="000000" w:sz="4" w:space="0"/>
              <w:right w:val="single" w:color="000000" w:sz="4" w:space="0"/>
            </w:tcBorders>
            <w:vAlign w:val="center"/>
          </w:tcPr>
          <w:p w14:paraId="749DB3DD">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19" w:name="_Toc16272"/>
            <w:bookmarkStart w:id="520" w:name="_Toc144907757"/>
            <w:bookmarkStart w:id="521" w:name="_Toc143443780"/>
            <w:bookmarkStart w:id="522" w:name="_Toc144969100"/>
            <w:r>
              <w:rPr>
                <w:rFonts w:hint="eastAsia" w:ascii="仿宋" w:hAnsi="仿宋" w:eastAsia="仿宋" w:cs="仿宋"/>
                <w:b w:val="0"/>
                <w:bCs w:val="0"/>
                <w:kern w:val="2"/>
                <w:sz w:val="28"/>
                <w:szCs w:val="28"/>
                <w:highlight w:val="none"/>
                <w:lang w:val="en-US" w:eastAsia="zh-CN" w:bidi="ar-SA"/>
              </w:rPr>
              <w:t>磋商响应文件内容</w:t>
            </w:r>
            <w:bookmarkEnd w:id="519"/>
            <w:bookmarkEnd w:id="520"/>
            <w:bookmarkEnd w:id="521"/>
            <w:bookmarkEnd w:id="522"/>
          </w:p>
        </w:tc>
        <w:tc>
          <w:tcPr>
            <w:tcW w:w="4418" w:type="dxa"/>
            <w:tcBorders>
              <w:top w:val="single" w:color="000000" w:sz="4" w:space="0"/>
              <w:left w:val="single" w:color="000000" w:sz="4" w:space="0"/>
              <w:bottom w:val="single" w:color="000000" w:sz="4" w:space="0"/>
              <w:right w:val="single" w:color="000000" w:sz="4" w:space="0"/>
            </w:tcBorders>
            <w:vAlign w:val="center"/>
          </w:tcPr>
          <w:p w14:paraId="622783AB">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23" w:name="_Toc144969101"/>
            <w:bookmarkStart w:id="524" w:name="_Toc143443781"/>
            <w:bookmarkStart w:id="525" w:name="_Toc144907758"/>
            <w:bookmarkStart w:id="526" w:name="_Toc26158"/>
            <w:r>
              <w:rPr>
                <w:rFonts w:hint="eastAsia" w:ascii="仿宋" w:hAnsi="仿宋" w:eastAsia="仿宋" w:cs="仿宋"/>
                <w:b w:val="0"/>
                <w:bCs w:val="0"/>
                <w:kern w:val="2"/>
                <w:sz w:val="28"/>
                <w:szCs w:val="28"/>
                <w:highlight w:val="none"/>
                <w:lang w:val="en-US" w:eastAsia="zh-CN" w:bidi="ar-SA"/>
              </w:rPr>
              <w:t>符合磋商响应文件格式要求</w:t>
            </w:r>
            <w:bookmarkEnd w:id="523"/>
            <w:bookmarkEnd w:id="524"/>
            <w:bookmarkEnd w:id="525"/>
            <w:bookmarkEnd w:id="526"/>
          </w:p>
        </w:tc>
        <w:tc>
          <w:tcPr>
            <w:tcW w:w="1701" w:type="dxa"/>
            <w:tcBorders>
              <w:top w:val="single" w:color="000000" w:sz="4" w:space="0"/>
              <w:left w:val="single" w:color="000000" w:sz="4" w:space="0"/>
              <w:bottom w:val="single" w:color="000000" w:sz="4" w:space="0"/>
              <w:right w:val="single" w:color="000000" w:sz="4" w:space="0"/>
            </w:tcBorders>
            <w:vAlign w:val="center"/>
          </w:tcPr>
          <w:p w14:paraId="40C6F1A0">
            <w:pPr>
              <w:pStyle w:val="7"/>
              <w:spacing w:line="440" w:lineRule="exact"/>
              <w:ind w:left="6" w:right="-109" w:rightChars="-52" w:hanging="6"/>
              <w:jc w:val="center"/>
              <w:outlineLvl w:val="9"/>
              <w:rPr>
                <w:rFonts w:hint="eastAsia" w:ascii="仿宋" w:hAnsi="仿宋" w:eastAsia="仿宋" w:cs="仿宋"/>
                <w:b w:val="0"/>
                <w:bCs w:val="0"/>
                <w:kern w:val="2"/>
                <w:sz w:val="28"/>
                <w:szCs w:val="28"/>
                <w:highlight w:val="none"/>
                <w:lang w:val="en-US" w:eastAsia="zh-CN" w:bidi="ar-SA"/>
              </w:rPr>
            </w:pPr>
          </w:p>
        </w:tc>
      </w:tr>
      <w:tr w14:paraId="2E2EDCB2">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09A62234">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27" w:name="_Toc8691"/>
            <w:bookmarkStart w:id="528" w:name="_Toc144969102"/>
            <w:bookmarkStart w:id="529" w:name="_Toc143443782"/>
            <w:bookmarkStart w:id="530" w:name="_Toc144907759"/>
            <w:r>
              <w:rPr>
                <w:rFonts w:hint="eastAsia" w:ascii="仿宋" w:hAnsi="仿宋" w:eastAsia="仿宋" w:cs="仿宋"/>
                <w:b w:val="0"/>
                <w:bCs w:val="0"/>
                <w:kern w:val="2"/>
                <w:sz w:val="28"/>
                <w:szCs w:val="28"/>
                <w:highlight w:val="none"/>
                <w:lang w:val="en-US" w:eastAsia="zh-CN" w:bidi="ar-SA"/>
              </w:rPr>
              <w:t>5</w:t>
            </w:r>
            <w:bookmarkEnd w:id="527"/>
            <w:bookmarkEnd w:id="528"/>
            <w:bookmarkEnd w:id="529"/>
            <w:bookmarkEnd w:id="530"/>
          </w:p>
        </w:tc>
        <w:tc>
          <w:tcPr>
            <w:tcW w:w="2918" w:type="dxa"/>
            <w:tcBorders>
              <w:top w:val="single" w:color="000000" w:sz="4" w:space="0"/>
              <w:left w:val="single" w:color="000000" w:sz="4" w:space="0"/>
              <w:bottom w:val="single" w:color="000000" w:sz="4" w:space="0"/>
              <w:right w:val="single" w:color="000000" w:sz="4" w:space="0"/>
            </w:tcBorders>
            <w:vAlign w:val="center"/>
          </w:tcPr>
          <w:p w14:paraId="3EEAA995">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31" w:name="_Toc143443783"/>
            <w:bookmarkStart w:id="532" w:name="_Toc144907760"/>
            <w:bookmarkStart w:id="533" w:name="_Toc144969103"/>
            <w:bookmarkStart w:id="534" w:name="_Toc31162"/>
            <w:r>
              <w:rPr>
                <w:rFonts w:hint="eastAsia" w:ascii="仿宋" w:hAnsi="仿宋" w:eastAsia="仿宋" w:cs="仿宋"/>
                <w:b w:val="0"/>
                <w:bCs w:val="0"/>
                <w:kern w:val="2"/>
                <w:sz w:val="28"/>
                <w:szCs w:val="28"/>
                <w:highlight w:val="none"/>
                <w:lang w:val="en-US" w:eastAsia="zh-CN" w:bidi="ar-SA"/>
              </w:rPr>
              <w:t>合同履行期限</w:t>
            </w:r>
            <w:bookmarkEnd w:id="531"/>
            <w:bookmarkEnd w:id="532"/>
            <w:bookmarkEnd w:id="533"/>
            <w:bookmarkEnd w:id="534"/>
          </w:p>
        </w:tc>
        <w:tc>
          <w:tcPr>
            <w:tcW w:w="4418" w:type="dxa"/>
            <w:tcBorders>
              <w:top w:val="single" w:color="000000" w:sz="4" w:space="0"/>
              <w:left w:val="single" w:color="000000" w:sz="4" w:space="0"/>
              <w:bottom w:val="single" w:color="000000" w:sz="4" w:space="0"/>
              <w:right w:val="single" w:color="000000" w:sz="4" w:space="0"/>
            </w:tcBorders>
            <w:vAlign w:val="center"/>
          </w:tcPr>
          <w:p w14:paraId="43EE4AAA">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35" w:name="_Toc17233"/>
            <w:bookmarkStart w:id="536" w:name="_Toc144907761"/>
            <w:bookmarkStart w:id="537" w:name="_Toc144969104"/>
            <w:r>
              <w:rPr>
                <w:rFonts w:hint="eastAsia" w:ascii="仿宋" w:hAnsi="仿宋" w:eastAsia="仿宋" w:cs="仿宋"/>
                <w:b w:val="0"/>
                <w:bCs w:val="0"/>
                <w:kern w:val="2"/>
                <w:sz w:val="28"/>
                <w:szCs w:val="28"/>
                <w:highlight w:val="none"/>
                <w:lang w:val="en-US" w:eastAsia="zh-CN" w:bidi="ar-SA"/>
              </w:rPr>
              <w:t>60日</w:t>
            </w:r>
            <w:bookmarkEnd w:id="535"/>
            <w:bookmarkEnd w:id="536"/>
            <w:bookmarkEnd w:id="537"/>
          </w:p>
        </w:tc>
        <w:tc>
          <w:tcPr>
            <w:tcW w:w="1701" w:type="dxa"/>
            <w:tcBorders>
              <w:top w:val="single" w:color="000000" w:sz="4" w:space="0"/>
              <w:left w:val="single" w:color="000000" w:sz="4" w:space="0"/>
              <w:bottom w:val="single" w:color="000000" w:sz="4" w:space="0"/>
              <w:right w:val="single" w:color="000000" w:sz="4" w:space="0"/>
            </w:tcBorders>
            <w:vAlign w:val="center"/>
          </w:tcPr>
          <w:p w14:paraId="7D7B8036">
            <w:pPr>
              <w:pStyle w:val="7"/>
              <w:spacing w:line="440" w:lineRule="exact"/>
              <w:ind w:left="6" w:right="-109" w:rightChars="-52" w:hanging="6"/>
              <w:jc w:val="center"/>
              <w:outlineLvl w:val="9"/>
              <w:rPr>
                <w:rFonts w:hint="eastAsia" w:ascii="仿宋" w:hAnsi="仿宋" w:eastAsia="仿宋" w:cs="仿宋"/>
                <w:b w:val="0"/>
                <w:bCs w:val="0"/>
                <w:kern w:val="2"/>
                <w:sz w:val="28"/>
                <w:szCs w:val="28"/>
                <w:highlight w:val="none"/>
                <w:lang w:val="en-US" w:eastAsia="zh-CN" w:bidi="ar-SA"/>
              </w:rPr>
            </w:pPr>
          </w:p>
        </w:tc>
      </w:tr>
      <w:tr w14:paraId="61DE2893">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725330B">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38" w:name="_Toc144907762"/>
            <w:bookmarkStart w:id="539" w:name="_Toc23864"/>
            <w:bookmarkStart w:id="540" w:name="_Toc144969105"/>
            <w:bookmarkStart w:id="541" w:name="_Toc143443785"/>
            <w:r>
              <w:rPr>
                <w:rFonts w:hint="eastAsia" w:ascii="仿宋" w:hAnsi="仿宋" w:eastAsia="仿宋" w:cs="仿宋"/>
                <w:b w:val="0"/>
                <w:bCs w:val="0"/>
                <w:kern w:val="2"/>
                <w:sz w:val="28"/>
                <w:szCs w:val="28"/>
                <w:highlight w:val="none"/>
                <w:lang w:val="en-US" w:eastAsia="zh-CN" w:bidi="ar-SA"/>
              </w:rPr>
              <w:t>6</w:t>
            </w:r>
            <w:bookmarkEnd w:id="538"/>
            <w:bookmarkEnd w:id="539"/>
            <w:bookmarkEnd w:id="540"/>
            <w:bookmarkEnd w:id="541"/>
          </w:p>
        </w:tc>
        <w:tc>
          <w:tcPr>
            <w:tcW w:w="2918" w:type="dxa"/>
            <w:tcBorders>
              <w:top w:val="single" w:color="000000" w:sz="4" w:space="0"/>
              <w:left w:val="single" w:color="000000" w:sz="4" w:space="0"/>
              <w:bottom w:val="single" w:color="000000" w:sz="4" w:space="0"/>
              <w:right w:val="single" w:color="000000" w:sz="4" w:space="0"/>
            </w:tcBorders>
            <w:vAlign w:val="center"/>
          </w:tcPr>
          <w:p w14:paraId="1BA55619">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42" w:name="_Toc12077"/>
            <w:bookmarkStart w:id="543" w:name="_Toc143443786"/>
            <w:bookmarkStart w:id="544" w:name="_Toc144907763"/>
            <w:bookmarkStart w:id="545" w:name="_Toc144969106"/>
            <w:r>
              <w:rPr>
                <w:rFonts w:hint="eastAsia" w:ascii="仿宋" w:hAnsi="仿宋" w:eastAsia="仿宋" w:cs="仿宋"/>
                <w:b w:val="0"/>
                <w:bCs w:val="0"/>
                <w:kern w:val="2"/>
                <w:sz w:val="28"/>
                <w:szCs w:val="28"/>
                <w:highlight w:val="none"/>
                <w:lang w:val="en-US" w:eastAsia="zh-CN" w:bidi="ar-SA"/>
              </w:rPr>
              <w:t>磋商有效期</w:t>
            </w:r>
            <w:bookmarkEnd w:id="542"/>
            <w:bookmarkEnd w:id="543"/>
            <w:bookmarkEnd w:id="544"/>
            <w:bookmarkEnd w:id="545"/>
          </w:p>
        </w:tc>
        <w:tc>
          <w:tcPr>
            <w:tcW w:w="4418" w:type="dxa"/>
            <w:tcBorders>
              <w:top w:val="single" w:color="000000" w:sz="4" w:space="0"/>
              <w:left w:val="single" w:color="000000" w:sz="4" w:space="0"/>
              <w:bottom w:val="single" w:color="000000" w:sz="4" w:space="0"/>
              <w:right w:val="single" w:color="000000" w:sz="4" w:space="0"/>
            </w:tcBorders>
            <w:vAlign w:val="center"/>
          </w:tcPr>
          <w:p w14:paraId="380A55CF">
            <w:pPr>
              <w:pStyle w:val="7"/>
              <w:spacing w:line="440" w:lineRule="exact"/>
              <w:ind w:left="6" w:right="-109" w:rightChars="-52" w:hanging="6"/>
              <w:jc w:val="center"/>
              <w:rPr>
                <w:rFonts w:hint="eastAsia" w:ascii="仿宋" w:hAnsi="仿宋" w:eastAsia="仿宋" w:cs="仿宋"/>
                <w:b w:val="0"/>
                <w:bCs w:val="0"/>
                <w:kern w:val="2"/>
                <w:sz w:val="28"/>
                <w:szCs w:val="28"/>
                <w:highlight w:val="none"/>
                <w:lang w:val="en-US" w:eastAsia="zh-CN" w:bidi="ar-SA"/>
              </w:rPr>
            </w:pPr>
            <w:bookmarkStart w:id="546" w:name="_Toc3908"/>
            <w:bookmarkStart w:id="547" w:name="_Toc29902"/>
            <w:bookmarkStart w:id="548" w:name="_Toc144907764"/>
            <w:bookmarkStart w:id="549" w:name="_Toc144969107"/>
            <w:bookmarkStart w:id="550" w:name="_Toc7313"/>
            <w:bookmarkStart w:id="551" w:name="_Toc143443787"/>
            <w:r>
              <w:rPr>
                <w:rFonts w:hint="eastAsia" w:ascii="仿宋" w:hAnsi="仿宋" w:eastAsia="仿宋" w:cs="仿宋"/>
                <w:b w:val="0"/>
                <w:bCs w:val="0"/>
                <w:kern w:val="2"/>
                <w:sz w:val="28"/>
                <w:szCs w:val="28"/>
                <w:highlight w:val="none"/>
                <w:lang w:val="en-US" w:eastAsia="zh-CN" w:bidi="ar-SA"/>
              </w:rPr>
              <w:t>60日</w:t>
            </w:r>
            <w:bookmarkEnd w:id="546"/>
            <w:bookmarkEnd w:id="547"/>
            <w:bookmarkEnd w:id="548"/>
            <w:bookmarkEnd w:id="549"/>
            <w:bookmarkEnd w:id="550"/>
            <w:bookmarkEnd w:id="551"/>
          </w:p>
        </w:tc>
        <w:tc>
          <w:tcPr>
            <w:tcW w:w="1701" w:type="dxa"/>
            <w:tcBorders>
              <w:top w:val="single" w:color="000000" w:sz="4" w:space="0"/>
              <w:left w:val="single" w:color="000000" w:sz="4" w:space="0"/>
              <w:bottom w:val="single" w:color="000000" w:sz="4" w:space="0"/>
              <w:right w:val="single" w:color="000000" w:sz="4" w:space="0"/>
            </w:tcBorders>
            <w:vAlign w:val="center"/>
          </w:tcPr>
          <w:p w14:paraId="332524AF">
            <w:pPr>
              <w:pStyle w:val="7"/>
              <w:spacing w:line="440" w:lineRule="exact"/>
              <w:ind w:left="6" w:right="-109" w:rightChars="-52" w:hanging="6"/>
              <w:jc w:val="center"/>
              <w:outlineLvl w:val="9"/>
              <w:rPr>
                <w:rFonts w:hint="eastAsia" w:ascii="仿宋" w:hAnsi="仿宋" w:eastAsia="仿宋" w:cs="仿宋"/>
                <w:b w:val="0"/>
                <w:bCs w:val="0"/>
                <w:kern w:val="2"/>
                <w:sz w:val="28"/>
                <w:szCs w:val="28"/>
                <w:highlight w:val="none"/>
                <w:lang w:val="en-US" w:eastAsia="zh-CN" w:bidi="ar-SA"/>
              </w:rPr>
            </w:pPr>
          </w:p>
        </w:tc>
      </w:tr>
    </w:tbl>
    <w:p w14:paraId="1B94908C">
      <w:pPr>
        <w:widowControl/>
        <w:spacing w:line="380" w:lineRule="exact"/>
        <w:jc w:val="left"/>
        <w:rPr>
          <w:rFonts w:hint="eastAsia" w:ascii="仿宋" w:hAnsi="仿宋" w:eastAsia="仿宋" w:cs="仿宋"/>
          <w:b/>
          <w:bCs/>
          <w:kern w:val="0"/>
          <w:sz w:val="28"/>
          <w:szCs w:val="28"/>
          <w:highlight w:val="none"/>
        </w:rPr>
      </w:pPr>
    </w:p>
    <w:p w14:paraId="42934B9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highlight w:val="none"/>
        </w:rPr>
      </w:pPr>
      <w:bookmarkStart w:id="552" w:name="_Toc143443788"/>
      <w:bookmarkStart w:id="553" w:name="_Toc144907765"/>
      <w:bookmarkStart w:id="554" w:name="_Toc144969108"/>
      <w:bookmarkStart w:id="555" w:name="_Hlk14390478"/>
      <w:r>
        <w:rPr>
          <w:rFonts w:hint="eastAsia" w:ascii="仿宋" w:hAnsi="仿宋" w:eastAsia="仿宋" w:cs="仿宋"/>
          <w:b/>
          <w:bCs/>
          <w:sz w:val="28"/>
          <w:szCs w:val="28"/>
          <w:highlight w:val="none"/>
        </w:rPr>
        <w:t>2. 评分细则详细评审</w:t>
      </w:r>
      <w:bookmarkEnd w:id="552"/>
      <w:bookmarkEnd w:id="553"/>
      <w:bookmarkEnd w:id="554"/>
    </w:p>
    <w:p w14:paraId="64403F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经初步评审合格的磋商响应文件，磋商小组对其作进一步评审、比较，并量化打分，总分为100 分。</w:t>
      </w:r>
    </w:p>
    <w:p w14:paraId="48DB77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商务标：30分。</w:t>
      </w:r>
    </w:p>
    <w:tbl>
      <w:tblPr>
        <w:tblStyle w:val="22"/>
        <w:tblW w:w="9746" w:type="dxa"/>
        <w:tblInd w:w="-96" w:type="dxa"/>
        <w:tblLayout w:type="fixed"/>
        <w:tblCellMar>
          <w:top w:w="0" w:type="dxa"/>
          <w:left w:w="0" w:type="dxa"/>
          <w:bottom w:w="0" w:type="dxa"/>
          <w:right w:w="0" w:type="dxa"/>
        </w:tblCellMar>
      </w:tblPr>
      <w:tblGrid>
        <w:gridCol w:w="1155"/>
        <w:gridCol w:w="8591"/>
      </w:tblGrid>
      <w:tr w14:paraId="1629D136">
        <w:tblPrEx>
          <w:tblCellMar>
            <w:top w:w="0" w:type="dxa"/>
            <w:left w:w="0" w:type="dxa"/>
            <w:bottom w:w="0" w:type="dxa"/>
            <w:right w:w="0" w:type="dxa"/>
          </w:tblCellMar>
        </w:tblPrEx>
        <w:trPr>
          <w:trHeight w:val="405" w:hRule="atLeast"/>
        </w:trPr>
        <w:tc>
          <w:tcPr>
            <w:tcW w:w="1155" w:type="dxa"/>
            <w:tcBorders>
              <w:top w:val="single" w:color="000000" w:sz="4" w:space="0"/>
              <w:left w:val="single" w:color="000000" w:sz="4" w:space="0"/>
              <w:bottom w:val="single" w:color="000000" w:sz="4" w:space="0"/>
              <w:right w:val="single" w:color="000000" w:sz="4" w:space="0"/>
            </w:tcBorders>
          </w:tcPr>
          <w:p w14:paraId="65115FB6">
            <w:pPr>
              <w:pStyle w:val="21"/>
              <w:spacing w:beforeAutospacing="0" w:afterAutospacing="0" w:line="380" w:lineRule="exact"/>
              <w:ind w:right="-9"/>
              <w:jc w:val="center"/>
              <w:rPr>
                <w:rFonts w:hint="eastAsia" w:ascii="仿宋" w:hAnsi="仿宋" w:eastAsia="仿宋" w:cs="仿宋"/>
                <w:sz w:val="28"/>
                <w:szCs w:val="28"/>
                <w:highlight w:val="none"/>
              </w:rPr>
            </w:pPr>
            <w:bookmarkStart w:id="556" w:name="_Toc32084"/>
            <w:r>
              <w:rPr>
                <w:rFonts w:hint="eastAsia" w:ascii="仿宋" w:hAnsi="仿宋" w:eastAsia="仿宋" w:cs="仿宋"/>
                <w:sz w:val="28"/>
                <w:szCs w:val="28"/>
                <w:highlight w:val="none"/>
              </w:rPr>
              <w:t>评分</w:t>
            </w:r>
            <w:bookmarkEnd w:id="556"/>
            <w:r>
              <w:rPr>
                <w:rFonts w:hint="eastAsia" w:ascii="仿宋" w:hAnsi="仿宋" w:eastAsia="仿宋" w:cs="仿宋"/>
                <w:sz w:val="28"/>
                <w:szCs w:val="28"/>
                <w:highlight w:val="none"/>
              </w:rPr>
              <w:t>项目</w:t>
            </w:r>
          </w:p>
        </w:tc>
        <w:tc>
          <w:tcPr>
            <w:tcW w:w="8591" w:type="dxa"/>
            <w:tcBorders>
              <w:top w:val="single" w:color="000000" w:sz="4" w:space="0"/>
              <w:left w:val="nil"/>
              <w:bottom w:val="single" w:color="000000" w:sz="4" w:space="0"/>
              <w:right w:val="single" w:color="000000" w:sz="4" w:space="0"/>
            </w:tcBorders>
          </w:tcPr>
          <w:p w14:paraId="6EE9CFA0">
            <w:pPr>
              <w:pStyle w:val="21"/>
              <w:spacing w:beforeAutospacing="0" w:afterAutospacing="0" w:line="380" w:lineRule="exact"/>
              <w:ind w:right="-9"/>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评标内容及标准</w:t>
            </w:r>
          </w:p>
        </w:tc>
      </w:tr>
      <w:tr w14:paraId="30AAEE7D">
        <w:tblPrEx>
          <w:tblCellMar>
            <w:top w:w="0" w:type="dxa"/>
            <w:left w:w="0" w:type="dxa"/>
            <w:bottom w:w="0" w:type="dxa"/>
            <w:right w:w="0" w:type="dxa"/>
          </w:tblCellMar>
        </w:tblPrEx>
        <w:trPr>
          <w:trHeight w:val="1060" w:hRule="atLeast"/>
        </w:trPr>
        <w:tc>
          <w:tcPr>
            <w:tcW w:w="1155" w:type="dxa"/>
            <w:tcBorders>
              <w:top w:val="single" w:color="000000" w:sz="4" w:space="0"/>
              <w:left w:val="single" w:color="000000" w:sz="4" w:space="0"/>
              <w:bottom w:val="single" w:color="000000" w:sz="4" w:space="0"/>
              <w:right w:val="single" w:color="000000" w:sz="4" w:space="0"/>
            </w:tcBorders>
          </w:tcPr>
          <w:p w14:paraId="0CCC44CC">
            <w:pPr>
              <w:pStyle w:val="21"/>
              <w:spacing w:beforeAutospacing="0" w:afterAutospacing="0" w:line="380" w:lineRule="exact"/>
              <w:ind w:right="-9" w:firstLine="280" w:firstLineChars="100"/>
              <w:rPr>
                <w:rFonts w:hint="eastAsia" w:ascii="仿宋" w:hAnsi="仿宋" w:eastAsia="仿宋" w:cs="仿宋"/>
                <w:sz w:val="28"/>
                <w:szCs w:val="28"/>
                <w:highlight w:val="none"/>
              </w:rPr>
            </w:pPr>
            <w:bookmarkStart w:id="557" w:name="_Toc15887"/>
          </w:p>
          <w:p w14:paraId="6055D8B1">
            <w:pPr>
              <w:pStyle w:val="21"/>
              <w:spacing w:beforeAutospacing="0" w:afterAutospacing="0" w:line="380" w:lineRule="exact"/>
              <w:ind w:right="-9" w:firstLine="280" w:firstLineChars="100"/>
              <w:rPr>
                <w:rFonts w:hint="eastAsia" w:ascii="仿宋" w:hAnsi="仿宋" w:eastAsia="仿宋" w:cs="仿宋"/>
                <w:sz w:val="28"/>
                <w:szCs w:val="28"/>
                <w:highlight w:val="none"/>
              </w:rPr>
            </w:pPr>
          </w:p>
          <w:p w14:paraId="638BFC2E">
            <w:pPr>
              <w:pStyle w:val="21"/>
              <w:spacing w:beforeAutospacing="0" w:afterAutospacing="0" w:line="380" w:lineRule="exact"/>
              <w:ind w:right="-9"/>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投标报价</w:t>
            </w:r>
            <w:bookmarkEnd w:id="557"/>
          </w:p>
          <w:p w14:paraId="36DE7C45">
            <w:pPr>
              <w:pStyle w:val="21"/>
              <w:spacing w:beforeAutospacing="0" w:afterAutospacing="0" w:line="380" w:lineRule="exact"/>
              <w:ind w:right="-9"/>
              <w:jc w:val="center"/>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rPr>
              <w:t>（30分）</w:t>
            </w:r>
          </w:p>
        </w:tc>
        <w:tc>
          <w:tcPr>
            <w:tcW w:w="8591" w:type="dxa"/>
            <w:tcBorders>
              <w:top w:val="single" w:color="000000" w:sz="4" w:space="0"/>
              <w:left w:val="nil"/>
              <w:bottom w:val="single" w:color="000000" w:sz="4" w:space="0"/>
              <w:right w:val="single" w:color="000000" w:sz="4" w:space="0"/>
            </w:tcBorders>
          </w:tcPr>
          <w:p w14:paraId="79C53C2E">
            <w:pPr>
              <w:pStyle w:val="50"/>
              <w:widowControl/>
              <w:spacing w:before="0" w:beforeAutospacing="0" w:afterAutospacing="0" w:line="380" w:lineRule="exact"/>
              <w:ind w:left="0" w:right="-9"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满足采购文件要求且最后磋商报价最低的为磋商基准价。</w:t>
            </w:r>
          </w:p>
          <w:p w14:paraId="240D4626">
            <w:pPr>
              <w:pStyle w:val="50"/>
              <w:widowControl/>
              <w:spacing w:before="0" w:beforeAutospacing="0" w:afterAutospacing="0" w:line="380" w:lineRule="exact"/>
              <w:ind w:left="0" w:right="-9"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价格分采用低价优先法计算，即满足磋商文件要求且最后报价最低的供应商的价格为磋商基准价（即:排除未通过初步评审的供应商之后的剩余递交最后磋商报价的供应商中最后磋商报价的最低价为磋商基准价），其价格分为满分。其他供应商的价格分统一按照下列公式计算：</w:t>
            </w:r>
          </w:p>
          <w:p w14:paraId="764BE967">
            <w:pPr>
              <w:pStyle w:val="50"/>
              <w:widowControl/>
              <w:spacing w:before="0" w:beforeAutospacing="0" w:afterAutospacing="0" w:line="380" w:lineRule="exact"/>
              <w:ind w:left="0" w:right="-9"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磋商报价得分=（磋商基准价/最后磋商报价）×30%×100 （小数点后保留两位，第三位四舍五入）。</w:t>
            </w:r>
          </w:p>
          <w:p w14:paraId="3FD8AF84">
            <w:pPr>
              <w:pStyle w:val="50"/>
              <w:widowControl/>
              <w:spacing w:before="0" w:beforeAutospacing="0" w:afterAutospacing="0" w:line="380" w:lineRule="exact"/>
              <w:ind w:left="0" w:right="-9"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rPr>
              <w:t>注：根据《政府采购促进中小企业发展管理办法》（财库〔2020〕46号）规定，本项目专门面向中小企业，不进行价格折算。</w:t>
            </w:r>
          </w:p>
        </w:tc>
      </w:tr>
    </w:tbl>
    <w:p w14:paraId="6787901D">
      <w:pP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rPr>
        <w:t>技术标：70分</w:t>
      </w:r>
    </w:p>
    <w:tbl>
      <w:tblPr>
        <w:tblStyle w:val="22"/>
        <w:tblpPr w:leftFromText="180" w:rightFromText="180" w:vertAnchor="text" w:horzAnchor="page" w:tblpX="1230" w:tblpY="363"/>
        <w:tblOverlap w:val="never"/>
        <w:tblW w:w="10006" w:type="dxa"/>
        <w:tblInd w:w="0" w:type="dxa"/>
        <w:tblLayout w:type="fixed"/>
        <w:tblCellMar>
          <w:top w:w="0" w:type="dxa"/>
          <w:left w:w="108" w:type="dxa"/>
          <w:bottom w:w="0" w:type="dxa"/>
          <w:right w:w="108" w:type="dxa"/>
        </w:tblCellMar>
      </w:tblPr>
      <w:tblGrid>
        <w:gridCol w:w="1050"/>
        <w:gridCol w:w="2000"/>
        <w:gridCol w:w="6956"/>
      </w:tblGrid>
      <w:tr w14:paraId="6A28FBFF">
        <w:tblPrEx>
          <w:tblCellMar>
            <w:top w:w="0" w:type="dxa"/>
            <w:left w:w="108" w:type="dxa"/>
            <w:bottom w:w="0" w:type="dxa"/>
            <w:right w:w="108" w:type="dxa"/>
          </w:tblCellMar>
        </w:tblPrEx>
        <w:trPr>
          <w:trHeight w:val="551"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6C76FFB9">
            <w:pPr>
              <w:spacing w:line="360" w:lineRule="auto"/>
              <w:ind w:right="-9"/>
              <w:jc w:val="center"/>
              <w:rPr>
                <w:rFonts w:hint="eastAsia" w:ascii="仿宋" w:hAnsi="仿宋" w:eastAsia="仿宋" w:cs="仿宋"/>
                <w:kern w:val="1"/>
                <w:sz w:val="28"/>
                <w:szCs w:val="28"/>
                <w:highlight w:val="none"/>
              </w:rPr>
            </w:pPr>
            <w:r>
              <w:rPr>
                <w:rFonts w:hint="eastAsia" w:ascii="仿宋" w:hAnsi="仿宋" w:eastAsia="仿宋" w:cs="仿宋"/>
                <w:b/>
                <w:kern w:val="1"/>
                <w:sz w:val="28"/>
                <w:szCs w:val="28"/>
                <w:highlight w:val="none"/>
              </w:rPr>
              <w:t>评分因素</w:t>
            </w:r>
          </w:p>
        </w:tc>
        <w:tc>
          <w:tcPr>
            <w:tcW w:w="8956" w:type="dxa"/>
            <w:gridSpan w:val="2"/>
            <w:tcBorders>
              <w:top w:val="single" w:color="000000" w:sz="4" w:space="0"/>
              <w:left w:val="single" w:color="000000" w:sz="4" w:space="0"/>
              <w:bottom w:val="single" w:color="000000" w:sz="4" w:space="0"/>
              <w:right w:val="single" w:color="000000" w:sz="4" w:space="0"/>
            </w:tcBorders>
            <w:vAlign w:val="center"/>
          </w:tcPr>
          <w:p w14:paraId="110DDD8C">
            <w:pPr>
              <w:spacing w:line="360" w:lineRule="auto"/>
              <w:ind w:right="-9" w:firstLine="3373" w:firstLineChars="1200"/>
              <w:rPr>
                <w:rFonts w:hint="eastAsia" w:ascii="仿宋" w:hAnsi="仿宋" w:eastAsia="仿宋" w:cs="仿宋"/>
                <w:kern w:val="1"/>
                <w:sz w:val="28"/>
                <w:szCs w:val="28"/>
                <w:highlight w:val="none"/>
              </w:rPr>
            </w:pPr>
            <w:r>
              <w:rPr>
                <w:rFonts w:hint="eastAsia" w:ascii="仿宋" w:hAnsi="仿宋" w:eastAsia="仿宋" w:cs="仿宋"/>
                <w:b/>
                <w:kern w:val="1"/>
                <w:sz w:val="28"/>
                <w:szCs w:val="28"/>
                <w:highlight w:val="none"/>
              </w:rPr>
              <w:t>评分标准</w:t>
            </w:r>
          </w:p>
        </w:tc>
      </w:tr>
      <w:tr w14:paraId="2199DF6A">
        <w:tblPrEx>
          <w:tblCellMar>
            <w:top w:w="0" w:type="dxa"/>
            <w:left w:w="108" w:type="dxa"/>
            <w:bottom w:w="0" w:type="dxa"/>
            <w:right w:w="108" w:type="dxa"/>
          </w:tblCellMar>
        </w:tblPrEx>
        <w:trPr>
          <w:trHeight w:val="895"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41B86B96">
            <w:pPr>
              <w:spacing w:line="240" w:lineRule="auto"/>
              <w:ind w:right="-9"/>
              <w:jc w:val="left"/>
              <w:rPr>
                <w:rFonts w:hint="eastAsia" w:ascii="仿宋" w:hAnsi="仿宋" w:eastAsia="仿宋" w:cs="仿宋"/>
                <w:bCs/>
                <w:kern w:val="1"/>
                <w:sz w:val="28"/>
                <w:szCs w:val="28"/>
                <w:highlight w:val="none"/>
              </w:rPr>
            </w:pPr>
            <w:r>
              <w:rPr>
                <w:rFonts w:hint="eastAsia" w:ascii="仿宋" w:hAnsi="仿宋" w:eastAsia="仿宋" w:cs="仿宋"/>
                <w:bCs/>
                <w:kern w:val="1"/>
                <w:sz w:val="28"/>
                <w:szCs w:val="28"/>
                <w:highlight w:val="none"/>
              </w:rPr>
              <w:t>人员配置（</w:t>
            </w:r>
            <w:r>
              <w:rPr>
                <w:rFonts w:hint="eastAsia" w:ascii="仿宋" w:hAnsi="仿宋" w:eastAsia="仿宋" w:cs="仿宋"/>
                <w:bCs/>
                <w:kern w:val="1"/>
                <w:sz w:val="28"/>
                <w:szCs w:val="28"/>
                <w:highlight w:val="none"/>
                <w:lang w:val="en-US" w:eastAsia="zh-CN"/>
              </w:rPr>
              <w:t>25</w:t>
            </w:r>
            <w:r>
              <w:rPr>
                <w:rFonts w:hint="eastAsia" w:ascii="仿宋" w:hAnsi="仿宋" w:eastAsia="仿宋" w:cs="仿宋"/>
                <w:bCs/>
                <w:kern w:val="1"/>
                <w:sz w:val="28"/>
                <w:szCs w:val="28"/>
                <w:highlight w:val="none"/>
              </w:rPr>
              <w:t>分）</w:t>
            </w:r>
          </w:p>
        </w:tc>
        <w:tc>
          <w:tcPr>
            <w:tcW w:w="8956" w:type="dxa"/>
            <w:gridSpan w:val="2"/>
            <w:tcBorders>
              <w:top w:val="single" w:color="000000" w:sz="4" w:space="0"/>
              <w:left w:val="single" w:color="000000" w:sz="4" w:space="0"/>
              <w:bottom w:val="single" w:color="000000" w:sz="4" w:space="0"/>
              <w:right w:val="single" w:color="000000" w:sz="4" w:space="0"/>
            </w:tcBorders>
            <w:vAlign w:val="center"/>
          </w:tcPr>
          <w:p w14:paraId="52DF51A2">
            <w:pPr>
              <w:keepNext w:val="0"/>
              <w:keepLines w:val="0"/>
              <w:pageBreakBefore w:val="0"/>
              <w:widowControl w:val="0"/>
              <w:kinsoku/>
              <w:wordWrap/>
              <w:overflowPunct/>
              <w:topLinePunct w:val="0"/>
              <w:autoSpaceDE/>
              <w:autoSpaceDN/>
              <w:bidi w:val="0"/>
              <w:adjustRightInd/>
              <w:snapToGrid/>
              <w:spacing w:line="480" w:lineRule="exact"/>
              <w:ind w:right="-11"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1、拟派的项目负责人具有工程类中级以上（含中级）工程师职称证书的，得5 分，满分 5 分 ；</w:t>
            </w:r>
          </w:p>
          <w:p w14:paraId="43C48B71">
            <w:pPr>
              <w:keepNext w:val="0"/>
              <w:keepLines w:val="0"/>
              <w:pageBreakBefore w:val="0"/>
              <w:widowControl w:val="0"/>
              <w:kinsoku/>
              <w:wordWrap/>
              <w:overflowPunct/>
              <w:topLinePunct w:val="0"/>
              <w:autoSpaceDE/>
              <w:autoSpaceDN/>
              <w:bidi w:val="0"/>
              <w:adjustRightInd/>
              <w:snapToGrid/>
              <w:spacing w:line="480" w:lineRule="exact"/>
              <w:ind w:right="-11"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 xml:space="preserve">注：响应文件中提供职称证书扫描件（格式自拟），且符合以上要求，否则磋商小组不予计分。 </w:t>
            </w:r>
          </w:p>
          <w:p w14:paraId="37FD5F8A">
            <w:pPr>
              <w:keepNext w:val="0"/>
              <w:keepLines w:val="0"/>
              <w:pageBreakBefore w:val="0"/>
              <w:widowControl w:val="0"/>
              <w:kinsoku/>
              <w:wordWrap/>
              <w:overflowPunct/>
              <w:topLinePunct w:val="0"/>
              <w:autoSpaceDE/>
              <w:autoSpaceDN/>
              <w:bidi w:val="0"/>
              <w:adjustRightInd/>
              <w:snapToGrid/>
              <w:spacing w:line="480" w:lineRule="exact"/>
              <w:ind w:right="-11"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2、拟派的技术负责人具有工程类中级以上（含中级）工程师职称证书的，得 5分，满分5分 ；</w:t>
            </w:r>
          </w:p>
          <w:p w14:paraId="68D2B9F9">
            <w:pPr>
              <w:keepNext w:val="0"/>
              <w:keepLines w:val="0"/>
              <w:pageBreakBefore w:val="0"/>
              <w:widowControl w:val="0"/>
              <w:kinsoku/>
              <w:wordWrap/>
              <w:overflowPunct/>
              <w:topLinePunct w:val="0"/>
              <w:autoSpaceDE/>
              <w:autoSpaceDN/>
              <w:bidi w:val="0"/>
              <w:adjustRightInd/>
              <w:snapToGrid/>
              <w:spacing w:line="480" w:lineRule="exact"/>
              <w:ind w:right="-11"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注：响应文件中提供职称证书扫描件（格式自拟），且符合以上要求，否则磋商小组不予计分。 </w:t>
            </w:r>
          </w:p>
          <w:p w14:paraId="4F80E690">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210" w:leftChars="0" w:right="-11" w:firstLine="420" w:firstLineChars="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拟派一名施工员，得 5 分，满分 5 分 ；</w:t>
            </w:r>
          </w:p>
          <w:p w14:paraId="646700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11"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注：响应文件中提供施工员证书扫描件（格式自拟），且符合以上要求，否则磋商小组不予计分。</w:t>
            </w:r>
          </w:p>
          <w:p w14:paraId="02C820A3">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210" w:leftChars="0" w:right="-11" w:firstLine="42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拟派</w:t>
            </w:r>
            <w:r>
              <w:rPr>
                <w:rFonts w:hint="eastAsia" w:ascii="仿宋" w:hAnsi="仿宋" w:eastAsia="仿宋" w:cs="仿宋"/>
                <w:b w:val="0"/>
                <w:bCs w:val="0"/>
                <w:sz w:val="28"/>
                <w:szCs w:val="28"/>
                <w:highlight w:val="none"/>
                <w:lang w:val="en-US" w:eastAsia="zh-CN"/>
              </w:rPr>
              <w:t>一名</w:t>
            </w:r>
            <w:r>
              <w:rPr>
                <w:rFonts w:hint="eastAsia" w:ascii="仿宋" w:hAnsi="仿宋" w:eastAsia="仿宋" w:cs="仿宋"/>
                <w:sz w:val="28"/>
                <w:szCs w:val="28"/>
                <w:highlight w:val="none"/>
                <w:lang w:val="en-US" w:eastAsia="zh-CN"/>
              </w:rPr>
              <w:t xml:space="preserve">安全员的得5分,本项满分5分。 </w:t>
            </w:r>
          </w:p>
          <w:p w14:paraId="07CAE469">
            <w:pPr>
              <w:keepNext w:val="0"/>
              <w:keepLines w:val="0"/>
              <w:pageBreakBefore w:val="0"/>
              <w:widowControl w:val="0"/>
              <w:kinsoku/>
              <w:wordWrap/>
              <w:overflowPunct/>
              <w:topLinePunct w:val="0"/>
              <w:autoSpaceDE/>
              <w:autoSpaceDN/>
              <w:bidi w:val="0"/>
              <w:adjustRightInd/>
              <w:snapToGrid/>
              <w:spacing w:line="480" w:lineRule="exact"/>
              <w:ind w:right="-11"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注：响应文件中提供职称证书扫描件（格式自拟），且符合以上要求，否则磋商小组不予计分。</w:t>
            </w:r>
          </w:p>
          <w:p w14:paraId="7989CC7B">
            <w:pPr>
              <w:keepNext w:val="0"/>
              <w:keepLines w:val="0"/>
              <w:pageBreakBefore w:val="0"/>
              <w:widowControl w:val="0"/>
              <w:kinsoku/>
              <w:wordWrap/>
              <w:overflowPunct/>
              <w:topLinePunct w:val="0"/>
              <w:autoSpaceDE/>
              <w:autoSpaceDN/>
              <w:bidi w:val="0"/>
              <w:adjustRightInd/>
              <w:snapToGrid/>
              <w:spacing w:line="480" w:lineRule="exact"/>
              <w:ind w:right="-11"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5、拟派</w:t>
            </w:r>
            <w:r>
              <w:rPr>
                <w:rFonts w:hint="eastAsia" w:ascii="仿宋" w:hAnsi="仿宋" w:eastAsia="仿宋" w:cs="仿宋"/>
                <w:b w:val="0"/>
                <w:bCs w:val="0"/>
                <w:sz w:val="28"/>
                <w:szCs w:val="28"/>
                <w:highlight w:val="none"/>
                <w:lang w:val="en-US" w:eastAsia="zh-CN"/>
              </w:rPr>
              <w:t>一名</w:t>
            </w:r>
            <w:r>
              <w:rPr>
                <w:rFonts w:hint="eastAsia" w:ascii="仿宋" w:hAnsi="仿宋" w:eastAsia="仿宋" w:cs="仿宋"/>
                <w:sz w:val="28"/>
                <w:szCs w:val="28"/>
                <w:highlight w:val="none"/>
                <w:lang w:val="en-US" w:eastAsia="zh-CN"/>
              </w:rPr>
              <w:t>质量员的，得5分,满分5分。</w:t>
            </w:r>
          </w:p>
          <w:p w14:paraId="7728C7C0">
            <w:pPr>
              <w:keepNext w:val="0"/>
              <w:keepLines w:val="0"/>
              <w:pageBreakBefore w:val="0"/>
              <w:widowControl w:val="0"/>
              <w:kinsoku/>
              <w:wordWrap/>
              <w:overflowPunct/>
              <w:topLinePunct w:val="0"/>
              <w:autoSpaceDE/>
              <w:autoSpaceDN/>
              <w:bidi w:val="0"/>
              <w:adjustRightInd/>
              <w:snapToGrid/>
              <w:spacing w:line="480" w:lineRule="exact"/>
              <w:ind w:right="-11"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注：响应文件中提供职称证书扫描件（格式自拟），且符合以上要求，否则磋商小组不予计分。</w:t>
            </w:r>
          </w:p>
        </w:tc>
      </w:tr>
      <w:tr w14:paraId="7DE4FDB4">
        <w:tblPrEx>
          <w:tblCellMar>
            <w:top w:w="0" w:type="dxa"/>
            <w:left w:w="108" w:type="dxa"/>
            <w:bottom w:w="0" w:type="dxa"/>
            <w:right w:w="108" w:type="dxa"/>
          </w:tblCellMar>
        </w:tblPrEx>
        <w:trPr>
          <w:trHeight w:val="845"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20347634">
            <w:pPr>
              <w:spacing w:line="240" w:lineRule="auto"/>
              <w:ind w:right="-9"/>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企业业绩（1</w:t>
            </w:r>
            <w:r>
              <w:rPr>
                <w:rFonts w:hint="eastAsia" w:ascii="仿宋" w:hAnsi="仿宋" w:eastAsia="仿宋" w:cs="仿宋"/>
                <w:bCs/>
                <w:sz w:val="28"/>
                <w:szCs w:val="28"/>
                <w:highlight w:val="none"/>
                <w:lang w:val="en-US" w:eastAsia="zh-CN"/>
              </w:rPr>
              <w:t>0</w:t>
            </w:r>
            <w:r>
              <w:rPr>
                <w:rFonts w:hint="eastAsia" w:ascii="仿宋" w:hAnsi="仿宋" w:eastAsia="仿宋" w:cs="仿宋"/>
                <w:bCs/>
                <w:sz w:val="28"/>
                <w:szCs w:val="28"/>
                <w:highlight w:val="none"/>
              </w:rPr>
              <w:t>分）</w:t>
            </w:r>
          </w:p>
        </w:tc>
        <w:tc>
          <w:tcPr>
            <w:tcW w:w="8956" w:type="dxa"/>
            <w:gridSpan w:val="2"/>
            <w:tcBorders>
              <w:top w:val="single" w:color="000000" w:sz="4" w:space="0"/>
              <w:left w:val="single" w:color="000000" w:sz="4" w:space="0"/>
              <w:bottom w:val="single" w:color="000000" w:sz="4" w:space="0"/>
              <w:right w:val="single" w:color="000000" w:sz="4" w:space="0"/>
            </w:tcBorders>
            <w:vAlign w:val="center"/>
          </w:tcPr>
          <w:p w14:paraId="69E14527">
            <w:pPr>
              <w:keepNext w:val="0"/>
              <w:keepLines w:val="0"/>
              <w:pageBreakBefore w:val="0"/>
              <w:widowControl w:val="0"/>
              <w:kinsoku/>
              <w:wordWrap/>
              <w:overflowPunct/>
              <w:topLinePunct w:val="0"/>
              <w:autoSpaceDE/>
              <w:autoSpaceDN/>
              <w:bidi w:val="0"/>
              <w:adjustRightInd/>
              <w:snapToGrid/>
              <w:spacing w:line="480" w:lineRule="exact"/>
              <w:ind w:right="-11"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2022</w:t>
            </w:r>
            <w:r>
              <w:rPr>
                <w:rFonts w:hint="eastAsia" w:ascii="仿宋" w:hAnsi="仿宋" w:eastAsia="仿宋" w:cs="仿宋"/>
                <w:sz w:val="28"/>
                <w:szCs w:val="28"/>
                <w:highlight w:val="none"/>
              </w:rPr>
              <w:t>年 1 月 1 日以来，投标供应商每提供一个类似业绩的得</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分，满分</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w:t>
            </w:r>
          </w:p>
          <w:p w14:paraId="0F0E791C">
            <w:pPr>
              <w:keepNext w:val="0"/>
              <w:keepLines w:val="0"/>
              <w:pageBreakBefore w:val="0"/>
              <w:widowControl w:val="0"/>
              <w:kinsoku/>
              <w:wordWrap/>
              <w:overflowPunct/>
              <w:topLinePunct w:val="0"/>
              <w:autoSpaceDE/>
              <w:autoSpaceDN/>
              <w:bidi w:val="0"/>
              <w:adjustRightInd/>
              <w:snapToGrid/>
              <w:spacing w:line="480" w:lineRule="exact"/>
              <w:ind w:right="-11"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提供合同、中标通知书，不提供或提供不齐全不得分。</w:t>
            </w:r>
          </w:p>
          <w:p w14:paraId="574FAFBD">
            <w:pPr>
              <w:keepNext w:val="0"/>
              <w:keepLines w:val="0"/>
              <w:pageBreakBefore w:val="0"/>
              <w:widowControl w:val="0"/>
              <w:kinsoku/>
              <w:wordWrap/>
              <w:overflowPunct/>
              <w:topLinePunct w:val="0"/>
              <w:autoSpaceDE/>
              <w:autoSpaceDN/>
              <w:bidi w:val="0"/>
              <w:adjustRightInd/>
              <w:snapToGrid/>
              <w:spacing w:line="480" w:lineRule="exact"/>
              <w:ind w:right="-11"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业绩时间以合同签订时间为准。</w:t>
            </w:r>
          </w:p>
        </w:tc>
      </w:tr>
      <w:tr w14:paraId="538023EA">
        <w:tblPrEx>
          <w:tblCellMar>
            <w:top w:w="0" w:type="dxa"/>
            <w:left w:w="108" w:type="dxa"/>
            <w:bottom w:w="0" w:type="dxa"/>
            <w:right w:w="108" w:type="dxa"/>
          </w:tblCellMar>
        </w:tblPrEx>
        <w:trPr>
          <w:trHeight w:val="660" w:hRule="atLeast"/>
        </w:trPr>
        <w:tc>
          <w:tcPr>
            <w:tcW w:w="1050" w:type="dxa"/>
            <w:vMerge w:val="restart"/>
            <w:tcBorders>
              <w:top w:val="single" w:color="auto" w:sz="4" w:space="0"/>
              <w:left w:val="single" w:color="auto" w:sz="4" w:space="0"/>
              <w:bottom w:val="single" w:color="auto" w:sz="4" w:space="0"/>
              <w:right w:val="single" w:color="000000" w:sz="4" w:space="0"/>
            </w:tcBorders>
            <w:vAlign w:val="center"/>
          </w:tcPr>
          <w:p w14:paraId="3DBBEC85">
            <w:pPr>
              <w:keepNext w:val="0"/>
              <w:keepLines w:val="0"/>
              <w:pageBreakBefore w:val="0"/>
              <w:widowControl/>
              <w:kinsoku/>
              <w:wordWrap/>
              <w:overflowPunct/>
              <w:topLinePunct w:val="0"/>
              <w:autoSpaceDE/>
              <w:autoSpaceDN/>
              <w:bidi w:val="0"/>
              <w:adjustRightInd/>
              <w:snapToGrid/>
              <w:spacing w:line="480" w:lineRule="exact"/>
              <w:ind w:right="-9"/>
              <w:jc w:val="left"/>
              <w:textAlignment w:val="auto"/>
              <w:rPr>
                <w:rStyle w:val="41"/>
                <w:rFonts w:hint="eastAsia" w:ascii="仿宋" w:hAnsi="仿宋" w:eastAsia="仿宋" w:cs="仿宋"/>
                <w:kern w:val="0"/>
                <w:sz w:val="28"/>
                <w:szCs w:val="28"/>
                <w:highlight w:val="none"/>
              </w:rPr>
            </w:pPr>
            <w:r>
              <w:rPr>
                <w:rStyle w:val="41"/>
                <w:rFonts w:hint="eastAsia" w:ascii="仿宋" w:hAnsi="仿宋" w:eastAsia="仿宋" w:cs="仿宋"/>
                <w:kern w:val="0"/>
                <w:sz w:val="28"/>
                <w:szCs w:val="28"/>
                <w:highlight w:val="none"/>
              </w:rPr>
              <w:t>施工组织方案</w:t>
            </w:r>
          </w:p>
          <w:p w14:paraId="6CE71207">
            <w:pPr>
              <w:keepNext w:val="0"/>
              <w:keepLines w:val="0"/>
              <w:pageBreakBefore w:val="0"/>
              <w:widowControl/>
              <w:kinsoku/>
              <w:wordWrap/>
              <w:overflowPunct/>
              <w:topLinePunct w:val="0"/>
              <w:autoSpaceDE/>
              <w:autoSpaceDN/>
              <w:bidi w:val="0"/>
              <w:adjustRightInd/>
              <w:snapToGrid/>
              <w:spacing w:line="480" w:lineRule="exact"/>
              <w:ind w:right="-9"/>
              <w:jc w:val="left"/>
              <w:textAlignment w:val="auto"/>
              <w:rPr>
                <w:rFonts w:hint="eastAsia" w:ascii="仿宋" w:hAnsi="仿宋" w:eastAsia="仿宋" w:cs="仿宋"/>
                <w:sz w:val="28"/>
                <w:szCs w:val="28"/>
                <w:highlight w:val="none"/>
              </w:rPr>
            </w:pPr>
            <w:r>
              <w:rPr>
                <w:rStyle w:val="41"/>
                <w:rFonts w:hint="eastAsia" w:ascii="仿宋" w:hAnsi="仿宋" w:eastAsia="仿宋" w:cs="仿宋"/>
                <w:kern w:val="0"/>
                <w:sz w:val="28"/>
                <w:szCs w:val="28"/>
                <w:highlight w:val="none"/>
              </w:rPr>
              <w:t>（3</w:t>
            </w:r>
            <w:r>
              <w:rPr>
                <w:rStyle w:val="41"/>
                <w:rFonts w:hint="eastAsia" w:ascii="仿宋" w:hAnsi="仿宋" w:eastAsia="仿宋" w:cs="仿宋"/>
                <w:kern w:val="0"/>
                <w:sz w:val="28"/>
                <w:szCs w:val="28"/>
                <w:highlight w:val="none"/>
                <w:lang w:val="en-US"/>
              </w:rPr>
              <w:t>5</w:t>
            </w:r>
            <w:r>
              <w:rPr>
                <w:rStyle w:val="41"/>
                <w:rFonts w:hint="eastAsia" w:ascii="仿宋" w:hAnsi="仿宋" w:eastAsia="仿宋" w:cs="仿宋"/>
                <w:kern w:val="0"/>
                <w:sz w:val="28"/>
                <w:szCs w:val="28"/>
                <w:highlight w:val="none"/>
              </w:rPr>
              <w:t>分）</w:t>
            </w:r>
          </w:p>
        </w:tc>
        <w:tc>
          <w:tcPr>
            <w:tcW w:w="2000" w:type="dxa"/>
            <w:tcBorders>
              <w:top w:val="single" w:color="auto" w:sz="4" w:space="0"/>
              <w:left w:val="single" w:color="000000" w:sz="4" w:space="0"/>
              <w:bottom w:val="single" w:color="auto" w:sz="4" w:space="0"/>
              <w:right w:val="single" w:color="auto" w:sz="4" w:space="0"/>
            </w:tcBorders>
            <w:vAlign w:val="center"/>
          </w:tcPr>
          <w:p w14:paraId="5E0A4A8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1.主要施工方案与技术措施（5分）</w:t>
            </w:r>
          </w:p>
          <w:p w14:paraId="402058D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rPr>
            </w:pPr>
          </w:p>
        </w:tc>
        <w:tc>
          <w:tcPr>
            <w:tcW w:w="6956" w:type="dxa"/>
            <w:tcBorders>
              <w:top w:val="single" w:color="000000" w:sz="4" w:space="0"/>
              <w:left w:val="single" w:color="auto" w:sz="4" w:space="0"/>
              <w:bottom w:val="single" w:color="000000" w:sz="4" w:space="0"/>
              <w:right w:val="single" w:color="000000" w:sz="4" w:space="0"/>
            </w:tcBorders>
            <w:vAlign w:val="center"/>
          </w:tcPr>
          <w:p w14:paraId="0582796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主要分部施工方法符合项目实际可行，施工方案完整详细且具体到每天工程任务且符合技术规范；竣工验收配合方案科学合理可行，能指导具体施工并确保安全。 </w:t>
            </w:r>
          </w:p>
          <w:p w14:paraId="5432276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（1）施工方法、竣工验收配合方案，能指导具体施工并确保安全，内容全面完善细致，符合项目实际、方法科学合理、可行性强，利于本项目顺利实施，得 5 分； </w:t>
            </w:r>
          </w:p>
          <w:p w14:paraId="06C0139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（2）方案能够满足要求，方案全面，基本能够保障本项目实施，得 3 分； </w:t>
            </w:r>
          </w:p>
          <w:p w14:paraId="69EC301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（3）方案能满足基本要求，但缺少针对性、合理性，得 1 分； </w:t>
            </w:r>
          </w:p>
          <w:p w14:paraId="1274BA5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未提供此措施方案或不满足采购需求的不得分。</w:t>
            </w:r>
          </w:p>
        </w:tc>
      </w:tr>
      <w:tr w14:paraId="1280F2E6">
        <w:tblPrEx>
          <w:tblCellMar>
            <w:top w:w="0" w:type="dxa"/>
            <w:left w:w="108" w:type="dxa"/>
            <w:bottom w:w="0" w:type="dxa"/>
            <w:right w:w="108" w:type="dxa"/>
          </w:tblCellMar>
        </w:tblPrEx>
        <w:trPr>
          <w:trHeight w:val="574" w:hRule="atLeast"/>
        </w:trPr>
        <w:tc>
          <w:tcPr>
            <w:tcW w:w="1050" w:type="dxa"/>
            <w:vMerge w:val="continue"/>
            <w:tcBorders>
              <w:top w:val="single" w:color="auto" w:sz="4" w:space="0"/>
              <w:left w:val="single" w:color="auto" w:sz="4" w:space="0"/>
              <w:right w:val="single" w:color="000000" w:sz="4" w:space="0"/>
            </w:tcBorders>
            <w:vAlign w:val="center"/>
          </w:tcPr>
          <w:p w14:paraId="199B0E7B">
            <w:pPr>
              <w:keepNext w:val="0"/>
              <w:keepLines w:val="0"/>
              <w:pageBreakBefore w:val="0"/>
              <w:widowControl/>
              <w:kinsoku/>
              <w:wordWrap/>
              <w:overflowPunct/>
              <w:topLinePunct w:val="0"/>
              <w:autoSpaceDE/>
              <w:autoSpaceDN/>
              <w:bidi w:val="0"/>
              <w:adjustRightInd/>
              <w:snapToGrid/>
              <w:spacing w:line="480" w:lineRule="exact"/>
              <w:ind w:right="-9"/>
              <w:jc w:val="left"/>
              <w:textAlignment w:val="auto"/>
              <w:rPr>
                <w:rFonts w:hint="eastAsia" w:ascii="仿宋" w:hAnsi="仿宋" w:eastAsia="仿宋" w:cs="仿宋"/>
                <w:sz w:val="28"/>
                <w:szCs w:val="28"/>
                <w:highlight w:val="none"/>
              </w:rPr>
            </w:pPr>
          </w:p>
        </w:tc>
        <w:tc>
          <w:tcPr>
            <w:tcW w:w="2000" w:type="dxa"/>
            <w:tcBorders>
              <w:top w:val="single" w:color="auto" w:sz="4" w:space="0"/>
              <w:left w:val="single" w:color="000000" w:sz="4" w:space="0"/>
              <w:bottom w:val="single" w:color="000000" w:sz="4" w:space="0"/>
              <w:right w:val="single" w:color="auto" w:sz="4" w:space="0"/>
            </w:tcBorders>
            <w:vAlign w:val="center"/>
          </w:tcPr>
          <w:p w14:paraId="6A11F451">
            <w:pPr>
              <w:keepNext w:val="0"/>
              <w:keepLines w:val="0"/>
              <w:pageBreakBefore w:val="0"/>
              <w:numPr>
                <w:ilvl w:val="0"/>
                <w:numId w:val="6"/>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确保安全文明生产的管理体系与措施</w:t>
            </w:r>
          </w:p>
          <w:p w14:paraId="489437EE">
            <w:pPr>
              <w:keepNext w:val="0"/>
              <w:keepLines w:val="0"/>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（5分）</w:t>
            </w:r>
          </w:p>
          <w:p w14:paraId="6557780D">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sz w:val="28"/>
                <w:szCs w:val="28"/>
                <w:highlight w:val="none"/>
              </w:rPr>
            </w:pPr>
          </w:p>
        </w:tc>
        <w:tc>
          <w:tcPr>
            <w:tcW w:w="6956" w:type="dxa"/>
            <w:tcBorders>
              <w:top w:val="single" w:color="000000" w:sz="4" w:space="0"/>
              <w:left w:val="single" w:color="auto" w:sz="4" w:space="0"/>
              <w:bottom w:val="single" w:color="000000" w:sz="4" w:space="0"/>
              <w:right w:val="single" w:color="000000" w:sz="4" w:space="0"/>
            </w:tcBorders>
            <w:vAlign w:val="center"/>
          </w:tcPr>
          <w:p w14:paraId="6E84C7C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根据施工单位制定有实质性的安全文明作业管理制度、人员管理。有保证安全文明施工的措施及环境保护措施，施工扬尘环境治理措施各项管理制度，包含巡视巡查制度、临时用电制度、特种人员操作制度；针对参与本项目的管理人员及技术人员有合理的分工，明确的工作职责，具备相应的技术能力；提供的措施方案中具有专门的管理班子和制度。 </w:t>
            </w:r>
          </w:p>
          <w:p w14:paraId="1178FE8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（1）确保安全文明生产的管理体系与措施方案，能指导具体施工并确保安全，内容全面完善细致，符合项目实际、方法科学合理、可行性强，利于本项目顺利实施，得 5 分； </w:t>
            </w:r>
          </w:p>
          <w:p w14:paraId="6B6552E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（2）方案能够满足要求，方案全面，基本能够保障本项目实施，得 3 分； </w:t>
            </w:r>
          </w:p>
          <w:p w14:paraId="26D24CE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（3）方案能满足基本要求，但缺少针对性、合理性，得 1 分； </w:t>
            </w:r>
          </w:p>
          <w:p w14:paraId="2239106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未提供此措施方案或不满足采购需求的不得分。</w:t>
            </w:r>
          </w:p>
        </w:tc>
      </w:tr>
      <w:tr w14:paraId="6978DA96">
        <w:tblPrEx>
          <w:tblCellMar>
            <w:top w:w="0" w:type="dxa"/>
            <w:left w:w="108" w:type="dxa"/>
            <w:bottom w:w="0" w:type="dxa"/>
            <w:right w:w="108" w:type="dxa"/>
          </w:tblCellMar>
        </w:tblPrEx>
        <w:trPr>
          <w:trHeight w:val="449" w:hRule="atLeast"/>
        </w:trPr>
        <w:tc>
          <w:tcPr>
            <w:tcW w:w="1050" w:type="dxa"/>
            <w:vMerge w:val="continue"/>
            <w:tcBorders>
              <w:left w:val="single" w:color="auto" w:sz="4" w:space="0"/>
              <w:right w:val="single" w:color="000000" w:sz="4" w:space="0"/>
            </w:tcBorders>
            <w:vAlign w:val="center"/>
          </w:tcPr>
          <w:p w14:paraId="325AA29F">
            <w:pPr>
              <w:keepNext w:val="0"/>
              <w:keepLines w:val="0"/>
              <w:pageBreakBefore w:val="0"/>
              <w:widowControl/>
              <w:kinsoku/>
              <w:wordWrap/>
              <w:overflowPunct/>
              <w:topLinePunct w:val="0"/>
              <w:autoSpaceDE/>
              <w:autoSpaceDN/>
              <w:bidi w:val="0"/>
              <w:adjustRightInd/>
              <w:snapToGrid/>
              <w:spacing w:line="480" w:lineRule="exact"/>
              <w:ind w:right="-9"/>
              <w:jc w:val="left"/>
              <w:textAlignment w:val="auto"/>
              <w:rPr>
                <w:rFonts w:hint="eastAsia" w:ascii="仿宋" w:hAnsi="仿宋" w:eastAsia="仿宋" w:cs="仿宋"/>
                <w:kern w:val="0"/>
                <w:sz w:val="28"/>
                <w:szCs w:val="28"/>
                <w:highlight w:val="none"/>
                <w:shd w:val="clear" w:color="auto" w:fill="FFFFFF"/>
                <w:lang w:bidi="ar"/>
              </w:rPr>
            </w:pPr>
          </w:p>
        </w:tc>
        <w:tc>
          <w:tcPr>
            <w:tcW w:w="2000" w:type="dxa"/>
            <w:tcBorders>
              <w:top w:val="single" w:color="000000" w:sz="4" w:space="0"/>
              <w:left w:val="single" w:color="000000" w:sz="4" w:space="0"/>
              <w:bottom w:val="single" w:color="auto" w:sz="4" w:space="0"/>
              <w:right w:val="single" w:color="auto" w:sz="4" w:space="0"/>
            </w:tcBorders>
            <w:vAlign w:val="center"/>
          </w:tcPr>
          <w:p w14:paraId="6A5C9258">
            <w:pPr>
              <w:keepNext w:val="0"/>
              <w:keepLines w:val="0"/>
              <w:pageBreakBefore w:val="0"/>
              <w:numPr>
                <w:ilvl w:val="0"/>
                <w:numId w:val="6"/>
              </w:numPr>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确保工程质量的管理体系与措施</w:t>
            </w:r>
          </w:p>
          <w:p w14:paraId="09159B9A">
            <w:pPr>
              <w:keepNext w:val="0"/>
              <w:keepLines w:val="0"/>
              <w:pageBreakBefore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 分）</w:t>
            </w:r>
          </w:p>
          <w:p w14:paraId="2A6B0726">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sz w:val="28"/>
                <w:szCs w:val="28"/>
                <w:highlight w:val="none"/>
              </w:rPr>
            </w:pPr>
          </w:p>
        </w:tc>
        <w:tc>
          <w:tcPr>
            <w:tcW w:w="6956" w:type="dxa"/>
            <w:tcBorders>
              <w:top w:val="single" w:color="000000" w:sz="4" w:space="0"/>
              <w:left w:val="single" w:color="auto" w:sz="4" w:space="0"/>
              <w:bottom w:val="single" w:color="000000" w:sz="4" w:space="0"/>
              <w:right w:val="single" w:color="000000" w:sz="4" w:space="0"/>
            </w:tcBorders>
            <w:vAlign w:val="center"/>
          </w:tcPr>
          <w:p w14:paraId="6BA73934">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kern w:val="0"/>
                <w:sz w:val="28"/>
                <w:szCs w:val="28"/>
                <w:highlight w:val="none"/>
                <w:shd w:val="clear" w:color="auto" w:fill="FFFFFF"/>
                <w:lang w:bidi="ar"/>
              </w:rPr>
            </w:pPr>
            <w:r>
              <w:rPr>
                <w:rFonts w:hint="eastAsia" w:ascii="仿宋" w:hAnsi="仿宋" w:eastAsia="仿宋" w:cs="仿宋"/>
                <w:kern w:val="0"/>
                <w:sz w:val="28"/>
                <w:szCs w:val="28"/>
                <w:highlight w:val="none"/>
                <w:shd w:val="clear" w:color="auto" w:fill="FFFFFF"/>
                <w:lang w:val="en-US" w:eastAsia="zh-CN" w:bidi="ar"/>
              </w:rPr>
              <w:t xml:space="preserve">措施方案中具有专门的质量技术管理班子和制度，且人员配备合理，制度健全；主要工序有质量技术保证措施和手段，自控体系完整，能有效保证技术质量，利于本项目顺利实施；针对参与本项目的管理人员及技术人员有合理的分工，明确的工作职责，具备相应的技术能力。 </w:t>
            </w:r>
          </w:p>
          <w:p w14:paraId="37691852">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kern w:val="0"/>
                <w:sz w:val="28"/>
                <w:szCs w:val="28"/>
                <w:highlight w:val="none"/>
                <w:shd w:val="clear" w:color="auto" w:fill="FFFFFF"/>
                <w:lang w:bidi="ar"/>
              </w:rPr>
            </w:pPr>
            <w:r>
              <w:rPr>
                <w:rFonts w:hint="eastAsia" w:ascii="仿宋" w:hAnsi="仿宋" w:eastAsia="仿宋" w:cs="仿宋"/>
                <w:kern w:val="0"/>
                <w:sz w:val="28"/>
                <w:szCs w:val="28"/>
                <w:highlight w:val="none"/>
                <w:shd w:val="clear" w:color="auto" w:fill="FFFFFF"/>
                <w:lang w:val="en-US" w:eastAsia="zh-CN" w:bidi="ar"/>
              </w:rPr>
              <w:t xml:space="preserve">（1）确保工程质量的管理体系与措施方案，能指导具体施工并确保工程质量，内容全面完善细致，符合项目实际、方法科学合理、可行性强，利于本项目顺利实施，得 5 分； </w:t>
            </w:r>
          </w:p>
          <w:p w14:paraId="4D694115">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kern w:val="0"/>
                <w:sz w:val="28"/>
                <w:szCs w:val="28"/>
                <w:highlight w:val="none"/>
                <w:shd w:val="clear" w:color="auto" w:fill="FFFFFF"/>
                <w:lang w:bidi="ar"/>
              </w:rPr>
            </w:pPr>
            <w:r>
              <w:rPr>
                <w:rFonts w:hint="eastAsia" w:ascii="仿宋" w:hAnsi="仿宋" w:eastAsia="仿宋" w:cs="仿宋"/>
                <w:kern w:val="0"/>
                <w:sz w:val="28"/>
                <w:szCs w:val="28"/>
                <w:highlight w:val="none"/>
                <w:shd w:val="clear" w:color="auto" w:fill="FFFFFF"/>
                <w:lang w:val="en-US" w:eastAsia="zh-CN" w:bidi="ar"/>
              </w:rPr>
              <w:t xml:space="preserve">（2）方案能够满足要求，方案全面，基本能够保障本项目实施，得 3 分； </w:t>
            </w:r>
          </w:p>
          <w:p w14:paraId="207E3BBE">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kern w:val="0"/>
                <w:sz w:val="28"/>
                <w:szCs w:val="28"/>
                <w:highlight w:val="none"/>
                <w:shd w:val="clear" w:color="auto" w:fill="FFFFFF"/>
                <w:lang w:bidi="ar"/>
              </w:rPr>
            </w:pPr>
            <w:r>
              <w:rPr>
                <w:rFonts w:hint="eastAsia" w:ascii="仿宋" w:hAnsi="仿宋" w:eastAsia="仿宋" w:cs="仿宋"/>
                <w:kern w:val="0"/>
                <w:sz w:val="28"/>
                <w:szCs w:val="28"/>
                <w:highlight w:val="none"/>
                <w:shd w:val="clear" w:color="auto" w:fill="FFFFFF"/>
                <w:lang w:val="en-US" w:eastAsia="zh-CN" w:bidi="ar"/>
              </w:rPr>
              <w:t xml:space="preserve">（3）方案能满足基本要求，但缺少针对性、合理性，得 1 分； </w:t>
            </w:r>
          </w:p>
          <w:p w14:paraId="27D5E934">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kern w:val="0"/>
                <w:sz w:val="28"/>
                <w:szCs w:val="28"/>
                <w:highlight w:val="none"/>
                <w:shd w:val="clear" w:color="auto" w:fill="FFFFFF"/>
                <w:lang w:bidi="ar"/>
              </w:rPr>
            </w:pPr>
            <w:r>
              <w:rPr>
                <w:rFonts w:hint="eastAsia" w:ascii="仿宋" w:hAnsi="仿宋" w:eastAsia="仿宋" w:cs="仿宋"/>
                <w:kern w:val="0"/>
                <w:sz w:val="28"/>
                <w:szCs w:val="28"/>
                <w:highlight w:val="none"/>
                <w:shd w:val="clear" w:color="auto" w:fill="FFFFFF"/>
                <w:lang w:val="en-US" w:eastAsia="zh-CN" w:bidi="ar"/>
              </w:rPr>
              <w:t xml:space="preserve">未提供此措施方案或不满足采购需求的不得分。 </w:t>
            </w:r>
          </w:p>
        </w:tc>
      </w:tr>
      <w:tr w14:paraId="67CD3C10">
        <w:tblPrEx>
          <w:tblCellMar>
            <w:top w:w="0" w:type="dxa"/>
            <w:left w:w="108" w:type="dxa"/>
            <w:bottom w:w="0" w:type="dxa"/>
            <w:right w:w="108" w:type="dxa"/>
          </w:tblCellMar>
        </w:tblPrEx>
        <w:trPr>
          <w:trHeight w:val="434" w:hRule="atLeast"/>
        </w:trPr>
        <w:tc>
          <w:tcPr>
            <w:tcW w:w="1050" w:type="dxa"/>
            <w:vMerge w:val="continue"/>
            <w:tcBorders>
              <w:left w:val="single" w:color="auto" w:sz="4" w:space="0"/>
              <w:right w:val="single" w:color="000000" w:sz="4" w:space="0"/>
            </w:tcBorders>
            <w:vAlign w:val="center"/>
          </w:tcPr>
          <w:p w14:paraId="5D7E4FC0">
            <w:pPr>
              <w:keepNext w:val="0"/>
              <w:keepLines w:val="0"/>
              <w:pageBreakBefore w:val="0"/>
              <w:widowControl/>
              <w:kinsoku/>
              <w:wordWrap/>
              <w:overflowPunct/>
              <w:topLinePunct w:val="0"/>
              <w:autoSpaceDE/>
              <w:autoSpaceDN/>
              <w:bidi w:val="0"/>
              <w:adjustRightInd/>
              <w:snapToGrid/>
              <w:spacing w:line="480" w:lineRule="exact"/>
              <w:ind w:right="-9"/>
              <w:jc w:val="left"/>
              <w:textAlignment w:val="auto"/>
              <w:rPr>
                <w:rFonts w:hint="eastAsia" w:ascii="仿宋" w:hAnsi="仿宋" w:eastAsia="仿宋" w:cs="仿宋"/>
                <w:kern w:val="0"/>
                <w:sz w:val="28"/>
                <w:szCs w:val="28"/>
                <w:highlight w:val="none"/>
                <w:shd w:val="clear" w:color="auto" w:fill="FFFFFF"/>
                <w:lang w:bidi="ar"/>
              </w:rPr>
            </w:pPr>
          </w:p>
        </w:tc>
        <w:tc>
          <w:tcPr>
            <w:tcW w:w="2000" w:type="dxa"/>
            <w:tcBorders>
              <w:top w:val="single" w:color="auto" w:sz="4" w:space="0"/>
              <w:left w:val="single" w:color="000000" w:sz="4" w:space="0"/>
              <w:bottom w:val="single" w:color="000000" w:sz="4" w:space="0"/>
              <w:right w:val="single" w:color="000000" w:sz="4" w:space="0"/>
            </w:tcBorders>
            <w:vAlign w:val="center"/>
          </w:tcPr>
          <w:p w14:paraId="5A04F29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4.工程进度计划与措施方案及施工网络图（5 分）</w:t>
            </w:r>
          </w:p>
          <w:p w14:paraId="6FC7C8C4">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sz w:val="28"/>
                <w:szCs w:val="28"/>
                <w:highlight w:val="none"/>
              </w:rPr>
            </w:pPr>
          </w:p>
        </w:tc>
        <w:tc>
          <w:tcPr>
            <w:tcW w:w="6956" w:type="dxa"/>
            <w:tcBorders>
              <w:top w:val="single" w:color="000000" w:sz="4" w:space="0"/>
              <w:left w:val="single" w:color="000000" w:sz="4" w:space="0"/>
              <w:bottom w:val="single" w:color="000000" w:sz="4" w:space="0"/>
              <w:right w:val="single" w:color="000000" w:sz="4" w:space="0"/>
            </w:tcBorders>
            <w:vAlign w:val="center"/>
          </w:tcPr>
          <w:p w14:paraId="05B03D1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在施工工艺、施工方法、材料选用、劳动力安排、机械设备、技术等方面有保证工期的具体措施且措施得当；有控制工期的施工进度计划；有施工总进度表或施工网络图；各项计划图表编制完善，安排科学合理，符合本项目施工实际要求。 </w:t>
            </w:r>
          </w:p>
          <w:p w14:paraId="39AA3A7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（1）工程进度计划与措施及施工网络图，能指导具体施工并确保工程进度，内容全面完善细致，符合项目实际、方法科学合理、可行性强，利于本项目顺利实施，得 5 分； </w:t>
            </w:r>
          </w:p>
          <w:p w14:paraId="433EAF4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（2）方案能够满足要求，方案全面，基本能够保障本项目实施，得 3 分； </w:t>
            </w:r>
          </w:p>
          <w:p w14:paraId="7FE2B5F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（3）方案能满足基本要求，但缺少针对性、合理性，得 1 分； </w:t>
            </w:r>
          </w:p>
          <w:p w14:paraId="5A9AC60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未提供此措施方案或不满足采购需求的不得分。</w:t>
            </w:r>
          </w:p>
        </w:tc>
      </w:tr>
      <w:tr w14:paraId="019B24A6">
        <w:tblPrEx>
          <w:tblCellMar>
            <w:top w:w="0" w:type="dxa"/>
            <w:left w:w="108" w:type="dxa"/>
            <w:bottom w:w="0" w:type="dxa"/>
            <w:right w:w="108" w:type="dxa"/>
          </w:tblCellMar>
        </w:tblPrEx>
        <w:trPr>
          <w:trHeight w:val="344" w:hRule="atLeast"/>
        </w:trPr>
        <w:tc>
          <w:tcPr>
            <w:tcW w:w="1050" w:type="dxa"/>
            <w:vMerge w:val="continue"/>
            <w:tcBorders>
              <w:left w:val="single" w:color="auto" w:sz="4" w:space="0"/>
              <w:right w:val="single" w:color="000000" w:sz="4" w:space="0"/>
            </w:tcBorders>
            <w:vAlign w:val="center"/>
          </w:tcPr>
          <w:p w14:paraId="38ADFE24">
            <w:pPr>
              <w:keepNext w:val="0"/>
              <w:keepLines w:val="0"/>
              <w:pageBreakBefore w:val="0"/>
              <w:widowControl/>
              <w:kinsoku/>
              <w:wordWrap/>
              <w:overflowPunct/>
              <w:topLinePunct w:val="0"/>
              <w:autoSpaceDE/>
              <w:autoSpaceDN/>
              <w:bidi w:val="0"/>
              <w:adjustRightInd/>
              <w:snapToGrid/>
              <w:spacing w:line="480" w:lineRule="exact"/>
              <w:ind w:right="-9"/>
              <w:jc w:val="left"/>
              <w:textAlignment w:val="auto"/>
              <w:rPr>
                <w:rFonts w:hint="eastAsia" w:ascii="仿宋" w:hAnsi="仿宋" w:eastAsia="仿宋" w:cs="仿宋"/>
                <w:kern w:val="0"/>
                <w:sz w:val="28"/>
                <w:szCs w:val="28"/>
                <w:highlight w:val="none"/>
                <w:shd w:val="clear" w:color="auto" w:fill="FFFFFF"/>
                <w:lang w:bidi="ar"/>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6DC53E95">
            <w:pPr>
              <w:keepNext w:val="0"/>
              <w:keepLines w:val="0"/>
              <w:pageBreakBefore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5.工程施工重点、技术关键点的理解和认识</w:t>
            </w:r>
          </w:p>
          <w:p w14:paraId="37C91137">
            <w:pPr>
              <w:keepNext w:val="0"/>
              <w:keepLines w:val="0"/>
              <w:pageBreakBefore w:val="0"/>
              <w:numPr>
                <w:ilvl w:val="0"/>
                <w:numId w:val="0"/>
              </w:numPr>
              <w:kinsoku/>
              <w:wordWrap/>
              <w:overflowPunct/>
              <w:topLinePunct w:val="0"/>
              <w:autoSpaceDE/>
              <w:autoSpaceDN/>
              <w:bidi w:val="0"/>
              <w:adjustRightInd/>
              <w:snapToGrid/>
              <w:spacing w:line="480" w:lineRule="exact"/>
              <w:ind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 分）</w:t>
            </w:r>
          </w:p>
          <w:p w14:paraId="4516898A">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sz w:val="28"/>
                <w:szCs w:val="28"/>
                <w:highlight w:val="none"/>
              </w:rPr>
            </w:pPr>
          </w:p>
        </w:tc>
        <w:tc>
          <w:tcPr>
            <w:tcW w:w="6956" w:type="dxa"/>
            <w:tcBorders>
              <w:top w:val="single" w:color="000000" w:sz="4" w:space="0"/>
              <w:left w:val="single" w:color="000000" w:sz="4" w:space="0"/>
              <w:bottom w:val="single" w:color="000000" w:sz="4" w:space="0"/>
              <w:right w:val="single" w:color="000000" w:sz="4" w:space="0"/>
            </w:tcBorders>
            <w:vAlign w:val="center"/>
          </w:tcPr>
          <w:p w14:paraId="25FB5D4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根据施工的经验及结合本项目的特殊情况针对本工程施工的重点和难点进行分析，技术关键点施工范围进行认真勘察，制定实施方案，各项措施周全、具体、有效及安全性。 </w:t>
            </w:r>
          </w:p>
          <w:p w14:paraId="496604E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（1）对工程施工重点、技术关键点的理解和认识全面细致，能指导具体施工，符合项目实际、方法科学合理、可行性强，利于本项目顺利实施，得 5 分； </w:t>
            </w:r>
          </w:p>
          <w:p w14:paraId="591D71A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（2）方案能够满足要求，方案全面，基本能够保障本项目实施，得 3 分； </w:t>
            </w:r>
          </w:p>
          <w:p w14:paraId="2CAB9ED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（3）方案能满足基本要求，但缺少针对性、合理性，得 1 分； </w:t>
            </w:r>
          </w:p>
          <w:p w14:paraId="66E11E0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未提供此措施方案或不满足采购需求的不得分。 </w:t>
            </w:r>
          </w:p>
        </w:tc>
      </w:tr>
      <w:tr w14:paraId="21128D33">
        <w:tblPrEx>
          <w:tblCellMar>
            <w:top w:w="0" w:type="dxa"/>
            <w:left w:w="108" w:type="dxa"/>
            <w:bottom w:w="0" w:type="dxa"/>
            <w:right w:w="108" w:type="dxa"/>
          </w:tblCellMar>
        </w:tblPrEx>
        <w:trPr>
          <w:trHeight w:val="616" w:hRule="atLeast"/>
        </w:trPr>
        <w:tc>
          <w:tcPr>
            <w:tcW w:w="1050" w:type="dxa"/>
            <w:vMerge w:val="continue"/>
            <w:tcBorders>
              <w:left w:val="single" w:color="auto" w:sz="4" w:space="0"/>
              <w:bottom w:val="single" w:color="auto" w:sz="4" w:space="0"/>
              <w:right w:val="single" w:color="000000" w:sz="4" w:space="0"/>
            </w:tcBorders>
            <w:vAlign w:val="center"/>
          </w:tcPr>
          <w:p w14:paraId="7F6943F1">
            <w:pPr>
              <w:keepNext w:val="0"/>
              <w:keepLines w:val="0"/>
              <w:pageBreakBefore w:val="0"/>
              <w:widowControl/>
              <w:kinsoku/>
              <w:wordWrap/>
              <w:overflowPunct/>
              <w:topLinePunct w:val="0"/>
              <w:autoSpaceDE/>
              <w:autoSpaceDN/>
              <w:bidi w:val="0"/>
              <w:adjustRightInd/>
              <w:snapToGrid/>
              <w:spacing w:line="480" w:lineRule="exact"/>
              <w:ind w:right="-9"/>
              <w:jc w:val="left"/>
              <w:textAlignment w:val="auto"/>
              <w:rPr>
                <w:rFonts w:hint="eastAsia" w:ascii="仿宋" w:hAnsi="仿宋" w:eastAsia="仿宋" w:cs="仿宋"/>
                <w:kern w:val="0"/>
                <w:sz w:val="28"/>
                <w:szCs w:val="28"/>
                <w:highlight w:val="none"/>
                <w:shd w:val="clear" w:color="auto" w:fill="FFFFFF"/>
                <w:lang w:bidi="ar"/>
              </w:rPr>
            </w:pPr>
            <w:bookmarkStart w:id="558" w:name="_Toc12198"/>
          </w:p>
        </w:tc>
        <w:tc>
          <w:tcPr>
            <w:tcW w:w="2000" w:type="dxa"/>
            <w:tcBorders>
              <w:top w:val="single" w:color="000000" w:sz="4" w:space="0"/>
              <w:left w:val="single" w:color="000000" w:sz="4" w:space="0"/>
              <w:bottom w:val="single" w:color="auto" w:sz="4" w:space="0"/>
              <w:right w:val="single" w:color="000000" w:sz="4" w:space="0"/>
            </w:tcBorders>
            <w:vAlign w:val="center"/>
          </w:tcPr>
          <w:p w14:paraId="52FB211B">
            <w:pPr>
              <w:keepNext w:val="0"/>
              <w:keepLines w:val="0"/>
              <w:pageBreakBefore w:val="0"/>
              <w:numPr>
                <w:ilvl w:val="0"/>
                <w:numId w:val="7"/>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拟投入的主要物资计划</w:t>
            </w:r>
          </w:p>
          <w:p w14:paraId="4050CBCB">
            <w:pPr>
              <w:keepNext w:val="0"/>
              <w:keepLines w:val="0"/>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 分）</w:t>
            </w:r>
          </w:p>
          <w:p w14:paraId="65767589">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sz w:val="28"/>
                <w:szCs w:val="28"/>
                <w:highlight w:val="none"/>
                <w:lang w:eastAsia="zh-CN"/>
              </w:rPr>
            </w:pPr>
          </w:p>
        </w:tc>
        <w:tc>
          <w:tcPr>
            <w:tcW w:w="6956" w:type="dxa"/>
            <w:tcBorders>
              <w:top w:val="single" w:color="000000" w:sz="4" w:space="0"/>
              <w:left w:val="single" w:color="000000" w:sz="4" w:space="0"/>
              <w:bottom w:val="single" w:color="auto" w:sz="4" w:space="0"/>
              <w:right w:val="single" w:color="000000" w:sz="4" w:space="0"/>
            </w:tcBorders>
            <w:vAlign w:val="center"/>
          </w:tcPr>
          <w:p w14:paraId="2BE45B76">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 xml:space="preserve">投入的施工材料有详细计划且计划周密，数量、选型配置、进场数量、时间安排可行，满足施工需要。 </w:t>
            </w:r>
          </w:p>
          <w:p w14:paraId="379EB5E2">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 xml:space="preserve">（1）对本项目特点和难点理解准确，方案优于本项目采购需求，完整详细，可行性、实用性、针对性强，得 5 分； </w:t>
            </w:r>
          </w:p>
          <w:p w14:paraId="289657FA">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 xml:space="preserve">（2）对本项目特点和难点理解基本准确，方案适合本项目采购需求，完整详细，具有可行性、实用性和针对性，得 3 分； </w:t>
            </w:r>
          </w:p>
          <w:p w14:paraId="6F03181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 xml:space="preserve">（3）对本项目特点和难点理解有待提升，方案基本适合本项目采购需求，可行性、实用性、针对性有待改善，得 1 分； </w:t>
            </w:r>
          </w:p>
          <w:p w14:paraId="2FF7F1DC">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未提供此措施方案或不满足采购需求的不得分。</w:t>
            </w:r>
          </w:p>
        </w:tc>
      </w:tr>
      <w:tr w14:paraId="5ACEED19">
        <w:tblPrEx>
          <w:tblCellMar>
            <w:top w:w="0" w:type="dxa"/>
            <w:left w:w="108" w:type="dxa"/>
            <w:bottom w:w="0" w:type="dxa"/>
            <w:right w:w="108" w:type="dxa"/>
          </w:tblCellMar>
        </w:tblPrEx>
        <w:trPr>
          <w:trHeight w:val="616" w:hRule="atLeast"/>
        </w:trPr>
        <w:tc>
          <w:tcPr>
            <w:tcW w:w="1050" w:type="dxa"/>
            <w:tcBorders>
              <w:top w:val="single" w:color="auto" w:sz="4" w:space="0"/>
              <w:left w:val="single" w:color="auto" w:sz="4" w:space="0"/>
              <w:bottom w:val="single" w:color="auto" w:sz="4" w:space="0"/>
              <w:right w:val="single" w:color="000000" w:sz="4" w:space="0"/>
            </w:tcBorders>
            <w:vAlign w:val="center"/>
          </w:tcPr>
          <w:p w14:paraId="061BCCE5">
            <w:pPr>
              <w:keepNext w:val="0"/>
              <w:keepLines w:val="0"/>
              <w:pageBreakBefore w:val="0"/>
              <w:widowControl/>
              <w:kinsoku/>
              <w:wordWrap/>
              <w:overflowPunct/>
              <w:topLinePunct w:val="0"/>
              <w:autoSpaceDE/>
              <w:autoSpaceDN/>
              <w:bidi w:val="0"/>
              <w:adjustRightInd/>
              <w:snapToGrid/>
              <w:spacing w:line="480" w:lineRule="exact"/>
              <w:ind w:right="-9"/>
              <w:jc w:val="left"/>
              <w:textAlignment w:val="auto"/>
              <w:rPr>
                <w:rFonts w:hint="eastAsia" w:ascii="仿宋" w:hAnsi="仿宋" w:eastAsia="仿宋" w:cs="仿宋"/>
                <w:kern w:val="0"/>
                <w:sz w:val="28"/>
                <w:szCs w:val="28"/>
                <w:highlight w:val="none"/>
                <w:shd w:val="clear" w:color="auto" w:fill="FFFFFF"/>
                <w:lang w:bidi="ar"/>
              </w:rPr>
            </w:pPr>
          </w:p>
        </w:tc>
        <w:tc>
          <w:tcPr>
            <w:tcW w:w="2000" w:type="dxa"/>
            <w:tcBorders>
              <w:top w:val="single" w:color="auto" w:sz="4" w:space="0"/>
              <w:left w:val="single" w:color="000000" w:sz="4" w:space="0"/>
              <w:bottom w:val="single" w:color="auto" w:sz="4" w:space="0"/>
              <w:right w:val="single" w:color="000000" w:sz="4" w:space="0"/>
            </w:tcBorders>
            <w:vAlign w:val="center"/>
          </w:tcPr>
          <w:p w14:paraId="13218838">
            <w:pPr>
              <w:keepNext w:val="0"/>
              <w:keepLines w:val="0"/>
              <w:pageBreakBefore w:val="0"/>
              <w:numPr>
                <w:ilvl w:val="0"/>
                <w:numId w:val="7"/>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工程重难点及对应保证措施危大工程安全管理</w:t>
            </w:r>
          </w:p>
          <w:p w14:paraId="17AB2410">
            <w:pPr>
              <w:keepNext w:val="0"/>
              <w:keepLines w:val="0"/>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 分）</w:t>
            </w:r>
          </w:p>
          <w:p w14:paraId="58A3F479">
            <w:pPr>
              <w:keepNext w:val="0"/>
              <w:keepLines w:val="0"/>
              <w:pageBreakBefore w:val="0"/>
              <w:kinsoku/>
              <w:wordWrap/>
              <w:overflowPunct/>
              <w:topLinePunct w:val="0"/>
              <w:autoSpaceDE/>
              <w:autoSpaceDN/>
              <w:bidi w:val="0"/>
              <w:adjustRightInd/>
              <w:snapToGrid/>
              <w:spacing w:line="480" w:lineRule="exact"/>
              <w:ind w:firstLine="560" w:firstLineChars="200"/>
              <w:jc w:val="center"/>
              <w:textAlignment w:val="auto"/>
              <w:rPr>
                <w:rFonts w:hint="eastAsia" w:ascii="仿宋" w:hAnsi="仿宋" w:eastAsia="仿宋" w:cs="仿宋"/>
                <w:sz w:val="28"/>
                <w:szCs w:val="28"/>
                <w:highlight w:val="none"/>
                <w:lang w:val="en-US" w:eastAsia="zh-CN"/>
              </w:rPr>
            </w:pPr>
          </w:p>
        </w:tc>
        <w:tc>
          <w:tcPr>
            <w:tcW w:w="6956" w:type="dxa"/>
            <w:tcBorders>
              <w:top w:val="single" w:color="auto" w:sz="4" w:space="0"/>
              <w:left w:val="single" w:color="000000" w:sz="4" w:space="0"/>
              <w:bottom w:val="single" w:color="auto" w:sz="4" w:space="0"/>
              <w:right w:val="single" w:color="auto" w:sz="4" w:space="0"/>
            </w:tcBorders>
            <w:vAlign w:val="center"/>
          </w:tcPr>
          <w:p w14:paraId="27CAB607">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根据供应商提供的各分部分项工程的工程重难点及对应保证措施危大工程安全管理进行综合评分： </w:t>
            </w:r>
          </w:p>
          <w:p w14:paraId="13EDAE8C">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（1）对施工中可能会产生的重点、难点进行分析梳理全面、详细，处理方法及步骤清晰，可行性、实用性、针对性强的，得 5 分； </w:t>
            </w:r>
          </w:p>
          <w:p w14:paraId="61413075">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（2）对施工中可能会产生的重点、难点进行分析梳理清楚，处理方法及步骤较清晰，具有可行性、实用性、针对性，得 3 分； </w:t>
            </w:r>
          </w:p>
          <w:p w14:paraId="07EBF14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（3）对施工中可能会产生的重点、难点进行分析梳理不完整，可行性、实用性、针对性有待改善，得 1 分； </w:t>
            </w:r>
          </w:p>
          <w:p w14:paraId="5A273272">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未提供此措施方案或不满足采购需求的不得分。</w:t>
            </w:r>
          </w:p>
        </w:tc>
      </w:tr>
      <w:bookmarkEnd w:id="558"/>
      <w:tr w14:paraId="32FE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0006" w:type="dxa"/>
            <w:gridSpan w:val="3"/>
            <w:tcBorders>
              <w:top w:val="single" w:color="auto" w:sz="4" w:space="0"/>
              <w:left w:val="single" w:color="auto" w:sz="4" w:space="0"/>
              <w:bottom w:val="single" w:color="auto" w:sz="4" w:space="0"/>
              <w:right w:val="single" w:color="auto" w:sz="4" w:space="0"/>
            </w:tcBorders>
            <w:vAlign w:val="center"/>
          </w:tcPr>
          <w:p w14:paraId="317AB24E">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rPr>
              <w:t>备注：以上证明材料（证明、证书、业绩等材料）投标时提供复印件或扫描件需清晰可辨并加盖投标供应商公章（供应商对证明材料真实性负责，否则按虚假投标处理）；</w:t>
            </w:r>
          </w:p>
        </w:tc>
      </w:tr>
    </w:tbl>
    <w:p w14:paraId="197ED725">
      <w:pPr>
        <w:pStyle w:val="6"/>
        <w:keepNext w:val="0"/>
        <w:keepLines w:val="0"/>
        <w:pageBreakBefore w:val="0"/>
        <w:widowControl w:val="0"/>
        <w:kinsoku/>
        <w:wordWrap/>
        <w:overflowPunct/>
        <w:topLinePunct w:val="0"/>
        <w:autoSpaceDE w:val="0"/>
        <w:autoSpaceDN/>
        <w:bidi w:val="0"/>
        <w:adjustRightIn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以上由评审专家分别打分，所有评审专家累计评分的算术平均值（保留小数点后两位，第三位四舍五入）即为各项的得分。本次磋商文件中要求提供的相关证明材料，投标时提供复印件或扫描件加盖投标供应商电子章，所有扫描件或复印件必须清晰可辨，因不清晰评委无法辨认按没提供处理供应商对证明材料真实性负法律责任，如虚假投标，采购人有权取消其中标资格；</w:t>
      </w:r>
    </w:p>
    <w:p w14:paraId="517B64A2">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59" w:name="_Toc144969109"/>
      <w:bookmarkStart w:id="560" w:name="_Toc3659"/>
      <w:bookmarkStart w:id="561" w:name="_Toc143443789"/>
      <w:bookmarkStart w:id="562" w:name="_Toc144907766"/>
      <w:r>
        <w:rPr>
          <w:rFonts w:hint="eastAsia" w:ascii="仿宋" w:hAnsi="仿宋" w:eastAsia="仿宋" w:cs="仿宋"/>
          <w:b w:val="0"/>
          <w:color w:val="auto"/>
          <w:sz w:val="28"/>
          <w:szCs w:val="28"/>
          <w:highlight w:val="none"/>
        </w:rPr>
        <w:t>计算上的算术错误。修正错误的原则如下：</w:t>
      </w:r>
      <w:bookmarkEnd w:id="559"/>
      <w:bookmarkEnd w:id="560"/>
      <w:bookmarkEnd w:id="561"/>
      <w:bookmarkEnd w:id="562"/>
    </w:p>
    <w:p w14:paraId="29B51AC9">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63" w:name="_Toc144907767"/>
      <w:bookmarkStart w:id="564" w:name="_Toc144969110"/>
      <w:bookmarkStart w:id="565" w:name="_Toc4034"/>
      <w:bookmarkStart w:id="566" w:name="_Toc143443790"/>
      <w:r>
        <w:rPr>
          <w:rFonts w:hint="eastAsia" w:ascii="仿宋" w:hAnsi="仿宋" w:eastAsia="仿宋" w:cs="仿宋"/>
          <w:b w:val="0"/>
          <w:color w:val="auto"/>
          <w:sz w:val="28"/>
          <w:szCs w:val="28"/>
          <w:highlight w:val="none"/>
        </w:rPr>
        <w:t>（1）磋商响应文件中开标一览表（报价表）内容与磋商响应文件中明细表内容不一致的，以开标一览表（报价表）为准。</w:t>
      </w:r>
      <w:bookmarkEnd w:id="563"/>
      <w:bookmarkEnd w:id="564"/>
      <w:bookmarkEnd w:id="565"/>
      <w:bookmarkEnd w:id="566"/>
    </w:p>
    <w:p w14:paraId="15DFB9F7">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67" w:name="_Toc144907768"/>
      <w:bookmarkStart w:id="568" w:name="_Toc144969111"/>
      <w:bookmarkStart w:id="569" w:name="_Toc143443791"/>
      <w:bookmarkStart w:id="570" w:name="_Toc14955"/>
      <w:r>
        <w:rPr>
          <w:rFonts w:hint="eastAsia" w:ascii="仿宋" w:hAnsi="仿宋" w:eastAsia="仿宋" w:cs="仿宋"/>
          <w:b w:val="0"/>
          <w:color w:val="auto"/>
          <w:sz w:val="28"/>
          <w:szCs w:val="28"/>
          <w:highlight w:val="none"/>
        </w:rPr>
        <w:t>（2）如果数字表示的金额和用文字表示的金额不一致时，以文字表示的金额为准；</w:t>
      </w:r>
      <w:bookmarkEnd w:id="567"/>
      <w:bookmarkEnd w:id="568"/>
      <w:bookmarkEnd w:id="569"/>
      <w:bookmarkEnd w:id="570"/>
      <w:r>
        <w:rPr>
          <w:rFonts w:hint="eastAsia" w:ascii="仿宋" w:hAnsi="仿宋" w:eastAsia="仿宋" w:cs="仿宋"/>
          <w:b w:val="0"/>
          <w:color w:val="auto"/>
          <w:sz w:val="28"/>
          <w:szCs w:val="28"/>
          <w:highlight w:val="none"/>
        </w:rPr>
        <w:t xml:space="preserve"> </w:t>
      </w:r>
    </w:p>
    <w:p w14:paraId="7B35CA3F">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71" w:name="_Toc27956"/>
      <w:bookmarkStart w:id="572" w:name="_Toc143443792"/>
      <w:bookmarkStart w:id="573" w:name="_Toc144969112"/>
      <w:bookmarkStart w:id="574" w:name="_Toc144907769"/>
      <w:r>
        <w:rPr>
          <w:rFonts w:hint="eastAsia" w:ascii="仿宋" w:hAnsi="仿宋" w:eastAsia="仿宋" w:cs="仿宋"/>
          <w:b w:val="0"/>
          <w:color w:val="auto"/>
          <w:sz w:val="28"/>
          <w:szCs w:val="28"/>
          <w:highlight w:val="none"/>
        </w:rPr>
        <w:t>（3）如果单价与数量的乘积和总价不一致，以单价为准。当小数点有明显的错误时，磋商小组将以总价为准，并修正其单价。</w:t>
      </w:r>
      <w:bookmarkEnd w:id="571"/>
      <w:bookmarkEnd w:id="572"/>
      <w:bookmarkEnd w:id="573"/>
      <w:bookmarkEnd w:id="574"/>
      <w:r>
        <w:rPr>
          <w:rFonts w:hint="eastAsia" w:ascii="仿宋" w:hAnsi="仿宋" w:eastAsia="仿宋" w:cs="仿宋"/>
          <w:b w:val="0"/>
          <w:color w:val="auto"/>
          <w:sz w:val="28"/>
          <w:szCs w:val="28"/>
          <w:highlight w:val="none"/>
        </w:rPr>
        <w:t xml:space="preserve"> </w:t>
      </w:r>
    </w:p>
    <w:p w14:paraId="6CAD398F">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75" w:name="_Toc144969113"/>
      <w:bookmarkStart w:id="576" w:name="_Toc144907770"/>
      <w:bookmarkStart w:id="577" w:name="_Toc143443793"/>
      <w:bookmarkStart w:id="578" w:name="_Toc15553"/>
      <w:r>
        <w:rPr>
          <w:rFonts w:hint="eastAsia" w:ascii="仿宋" w:hAnsi="仿宋" w:eastAsia="仿宋" w:cs="仿宋"/>
          <w:b w:val="0"/>
          <w:color w:val="auto"/>
          <w:sz w:val="28"/>
          <w:szCs w:val="28"/>
          <w:highlight w:val="none"/>
        </w:rPr>
        <w:t>（4）磋商小组将允许投标供应商修改其投标中不构成重大偏离的微小的、非正规的、不一致的或不规则的地方，但这些修改不能影响任何投标供应商的名次相应排列。报价关键漏（缺）项处理：</w:t>
      </w:r>
      <w:bookmarkEnd w:id="575"/>
      <w:bookmarkEnd w:id="576"/>
      <w:bookmarkEnd w:id="577"/>
      <w:bookmarkEnd w:id="578"/>
    </w:p>
    <w:p w14:paraId="2780E8D7">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79" w:name="_Toc144969114"/>
      <w:bookmarkStart w:id="580" w:name="_Toc144907771"/>
      <w:bookmarkStart w:id="581" w:name="_Toc21966"/>
      <w:bookmarkStart w:id="582" w:name="_Toc143443794"/>
      <w:r>
        <w:rPr>
          <w:rFonts w:hint="eastAsia" w:ascii="仿宋" w:hAnsi="仿宋" w:eastAsia="仿宋" w:cs="仿宋"/>
          <w:b w:val="0"/>
          <w:color w:val="auto"/>
          <w:sz w:val="28"/>
          <w:szCs w:val="28"/>
          <w:highlight w:val="none"/>
        </w:rPr>
        <w:t>磋商小组对合格的投标供应商的投标报价进行详细分析、核查，检查其是否存在关键漏（缺）报项，若存在关键漏（缺）报项，在评审时取其他有效投标供应商的该项有效报价中的最高报价加入评审价进行评审，对多报项及赠送项的价格评审时不予核减报价进行评审。磋商小组按照磋商文件规定对投标供应商报价进行调整修正，调整后的价格对投标供应商具有约束力。如果投标供应商不接受修正后的报价，则其报价将被拒绝，其磋商响应文件为无效投标响应文件。</w:t>
      </w:r>
      <w:bookmarkEnd w:id="579"/>
      <w:bookmarkEnd w:id="580"/>
      <w:bookmarkEnd w:id="581"/>
      <w:bookmarkEnd w:id="582"/>
    </w:p>
    <w:p w14:paraId="1D962F3E">
      <w:pPr>
        <w:pStyle w:val="7"/>
        <w:keepNext w:val="0"/>
        <w:keepLines w:val="0"/>
        <w:pageBreakBefore w:val="0"/>
        <w:widowControl w:val="0"/>
        <w:kinsoku/>
        <w:wordWrap/>
        <w:overflowPunct/>
        <w:topLinePunct w:val="0"/>
        <w:autoSpaceDN/>
        <w:bidi w:val="0"/>
        <w:adjustRightInd/>
        <w:spacing w:line="480" w:lineRule="exact"/>
        <w:ind w:left="6" w:firstLine="562" w:firstLineChars="200"/>
        <w:textAlignment w:val="auto"/>
        <w:rPr>
          <w:rFonts w:hint="eastAsia" w:ascii="仿宋" w:hAnsi="仿宋" w:eastAsia="仿宋" w:cs="仿宋"/>
          <w:bCs/>
          <w:color w:val="auto"/>
          <w:sz w:val="28"/>
          <w:szCs w:val="28"/>
          <w:highlight w:val="none"/>
        </w:rPr>
      </w:pPr>
      <w:bookmarkStart w:id="583" w:name="_Toc4659"/>
      <w:r>
        <w:rPr>
          <w:rFonts w:hint="eastAsia" w:ascii="仿宋" w:hAnsi="仿宋" w:eastAsia="仿宋" w:cs="仿宋"/>
          <w:bCs/>
          <w:color w:val="auto"/>
          <w:sz w:val="28"/>
          <w:szCs w:val="28"/>
          <w:highlight w:val="none"/>
        </w:rPr>
        <w:t>3</w:t>
      </w:r>
      <w:bookmarkStart w:id="584" w:name="_Toc143443795"/>
      <w:bookmarkStart w:id="585" w:name="_Toc144907772"/>
      <w:bookmarkStart w:id="586" w:name="_Toc144969115"/>
      <w:r>
        <w:rPr>
          <w:rFonts w:hint="eastAsia" w:ascii="仿宋" w:hAnsi="仿宋" w:eastAsia="仿宋" w:cs="仿宋"/>
          <w:bCs/>
          <w:color w:val="auto"/>
          <w:sz w:val="28"/>
          <w:szCs w:val="28"/>
          <w:highlight w:val="none"/>
        </w:rPr>
        <w:t>. 评审结果</w:t>
      </w:r>
      <w:bookmarkEnd w:id="583"/>
      <w:bookmarkEnd w:id="584"/>
      <w:bookmarkEnd w:id="585"/>
      <w:bookmarkEnd w:id="586"/>
    </w:p>
    <w:p w14:paraId="34D5C9E9">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87" w:name="_Toc22726"/>
      <w:bookmarkStart w:id="588" w:name="_Toc144907774"/>
      <w:bookmarkStart w:id="589" w:name="_Toc144969117"/>
      <w:bookmarkStart w:id="590" w:name="_Toc143443797"/>
      <w:r>
        <w:rPr>
          <w:rFonts w:hint="eastAsia" w:ascii="仿宋" w:hAnsi="仿宋" w:eastAsia="仿宋" w:cs="仿宋"/>
          <w:b w:val="0"/>
          <w:color w:val="auto"/>
          <w:sz w:val="28"/>
          <w:szCs w:val="28"/>
          <w:highlight w:val="none"/>
        </w:rPr>
        <w:t>（1）供应商实际得分为技术标评审和商务标评审两项得分之和。</w:t>
      </w:r>
      <w:bookmarkEnd w:id="587"/>
      <w:bookmarkEnd w:id="588"/>
      <w:bookmarkEnd w:id="589"/>
      <w:bookmarkEnd w:id="590"/>
    </w:p>
    <w:p w14:paraId="5F820EAF">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91" w:name="_Toc144907775"/>
      <w:bookmarkStart w:id="592" w:name="_Toc16120"/>
      <w:bookmarkStart w:id="593" w:name="_Toc143443798"/>
      <w:bookmarkStart w:id="594" w:name="_Toc144969118"/>
      <w:r>
        <w:rPr>
          <w:rFonts w:hint="eastAsia" w:ascii="仿宋" w:hAnsi="仿宋" w:eastAsia="仿宋" w:cs="仿宋"/>
          <w:b w:val="0"/>
          <w:color w:val="auto"/>
          <w:sz w:val="28"/>
          <w:szCs w:val="28"/>
          <w:highlight w:val="none"/>
        </w:rPr>
        <w:t>（2）技术标评审由全体磋商小组成员综合评议并独立打分，取所有评审专家打分的平均分作为供应商技术标的得分；商务标评审由全体磋商小组成员统计，全体磋商小组成员签字确认。</w:t>
      </w:r>
      <w:bookmarkEnd w:id="591"/>
      <w:bookmarkEnd w:id="592"/>
      <w:bookmarkEnd w:id="593"/>
      <w:bookmarkEnd w:id="594"/>
    </w:p>
    <w:p w14:paraId="7C529643">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95" w:name="_Toc144907776"/>
      <w:bookmarkStart w:id="596" w:name="_Toc143443799"/>
      <w:bookmarkStart w:id="597" w:name="_Toc26450"/>
      <w:bookmarkStart w:id="598" w:name="_Toc144969119"/>
      <w:r>
        <w:rPr>
          <w:rFonts w:hint="eastAsia" w:ascii="仿宋" w:hAnsi="仿宋" w:eastAsia="仿宋" w:cs="仿宋"/>
          <w:b w:val="0"/>
          <w:color w:val="auto"/>
          <w:sz w:val="28"/>
          <w:szCs w:val="28"/>
          <w:highlight w:val="none"/>
        </w:rPr>
        <w:t>（3）应商最终得分为技术标与商务标之和。</w:t>
      </w:r>
      <w:bookmarkEnd w:id="595"/>
      <w:bookmarkEnd w:id="596"/>
      <w:bookmarkEnd w:id="597"/>
      <w:bookmarkEnd w:id="598"/>
    </w:p>
    <w:p w14:paraId="42995B2A">
      <w:pPr>
        <w:keepNext w:val="0"/>
        <w:keepLines w:val="0"/>
        <w:pageBreakBefore w:val="0"/>
        <w:widowControl w:val="0"/>
        <w:kinsoku/>
        <w:wordWrap/>
        <w:overflowPunct/>
        <w:topLinePunct w:val="0"/>
        <w:autoSpaceDN/>
        <w:bidi w:val="0"/>
        <w:adjustRightIn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磋商小组各成员应当独立对每个有效响应的文件进行评价、打分，然后汇总每个供应商每项评分因素的得分，按照《政府采购竞争性磋商采购方式管理暂行办法》（财库〔2014〕214号），磋商小组应当根据综合评分情况，按照评审得分由高到低顺序推荐3名以上成交候选供应商，并编写审评报告。符合本办法第二十一条第三款情形的，可以推荐2家成交候选供应商。评审得分相同的，按照最后报价由低到高的顺序推荐。评审得分且最后报价相同的，按照技术指标优劣顺序推荐。</w:t>
      </w:r>
    </w:p>
    <w:p w14:paraId="31D656D3">
      <w:pPr>
        <w:keepNext w:val="0"/>
        <w:keepLines w:val="0"/>
        <w:pageBreakBefore w:val="0"/>
        <w:widowControl w:val="0"/>
        <w:kinsoku/>
        <w:wordWrap/>
        <w:overflowPunct/>
        <w:topLinePunct w:val="0"/>
        <w:autoSpaceDN/>
        <w:bidi w:val="0"/>
        <w:adjustRightIn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（5）采购人授权磋商小组从评审报告提出的成交候选供应商中，按照排序由高到低的原则确定成交供应商。</w:t>
      </w:r>
    </w:p>
    <w:p w14:paraId="35745114">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599" w:name="_Toc143443800"/>
      <w:bookmarkStart w:id="600" w:name="_Toc144969120"/>
      <w:bookmarkStart w:id="601" w:name="_Toc865"/>
      <w:bookmarkStart w:id="602" w:name="_Toc144907777"/>
      <w:r>
        <w:rPr>
          <w:rFonts w:hint="eastAsia" w:ascii="仿宋" w:hAnsi="仿宋" w:eastAsia="仿宋" w:cs="仿宋"/>
          <w:b w:val="0"/>
          <w:color w:val="auto"/>
          <w:sz w:val="28"/>
          <w:szCs w:val="28"/>
          <w:highlight w:val="none"/>
        </w:rPr>
        <w:t>（6）磋商小组不得将评标情况透露给予供应商有关的单位和个人。如有违反评标纪律的情况发生，将依据《中华人民共和国政府采购法》及其他有关法律法规的规定，追究有关当事人的责任。</w:t>
      </w:r>
      <w:bookmarkEnd w:id="599"/>
      <w:bookmarkEnd w:id="600"/>
      <w:bookmarkEnd w:id="601"/>
      <w:bookmarkEnd w:id="602"/>
    </w:p>
    <w:p w14:paraId="788546F3">
      <w:pPr>
        <w:pStyle w:val="7"/>
        <w:keepNext w:val="0"/>
        <w:keepLines w:val="0"/>
        <w:pageBreakBefore w:val="0"/>
        <w:widowControl w:val="0"/>
        <w:kinsoku/>
        <w:wordWrap/>
        <w:overflowPunct/>
        <w:topLinePunct w:val="0"/>
        <w:autoSpaceDN/>
        <w:bidi w:val="0"/>
        <w:adjustRightInd/>
        <w:spacing w:line="480" w:lineRule="exact"/>
        <w:ind w:left="6" w:firstLine="560" w:firstLineChars="200"/>
        <w:textAlignment w:val="auto"/>
        <w:rPr>
          <w:rFonts w:hint="eastAsia" w:ascii="仿宋" w:hAnsi="仿宋" w:eastAsia="仿宋" w:cs="仿宋"/>
          <w:b w:val="0"/>
          <w:color w:val="auto"/>
          <w:sz w:val="28"/>
          <w:szCs w:val="28"/>
          <w:highlight w:val="none"/>
        </w:rPr>
      </w:pPr>
      <w:bookmarkStart w:id="603" w:name="_Toc143443801"/>
      <w:bookmarkStart w:id="604" w:name="_Toc144969121"/>
      <w:bookmarkStart w:id="605" w:name="_Toc144907778"/>
      <w:bookmarkStart w:id="606" w:name="_Toc15883"/>
      <w:r>
        <w:rPr>
          <w:rFonts w:hint="eastAsia" w:ascii="仿宋" w:hAnsi="仿宋" w:eastAsia="仿宋" w:cs="仿宋"/>
          <w:b w:val="0"/>
          <w:color w:val="auto"/>
          <w:sz w:val="28"/>
          <w:szCs w:val="28"/>
          <w:highlight w:val="none"/>
        </w:rPr>
        <w:t>（7）本评审方法和标准的解释权属于采购人。</w:t>
      </w:r>
      <w:bookmarkEnd w:id="603"/>
      <w:bookmarkEnd w:id="604"/>
      <w:bookmarkEnd w:id="605"/>
      <w:bookmarkEnd w:id="606"/>
    </w:p>
    <w:p w14:paraId="16B6144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b/>
          <w:bCs/>
          <w:sz w:val="28"/>
          <w:szCs w:val="28"/>
          <w:highlight w:val="none"/>
        </w:rPr>
      </w:pPr>
      <w:r>
        <w:rPr>
          <w:rFonts w:hint="eastAsia" w:ascii="仿宋" w:hAnsi="仿宋" w:eastAsia="仿宋" w:cs="仿宋"/>
          <w:color w:val="auto"/>
          <w:sz w:val="28"/>
          <w:szCs w:val="28"/>
          <w:highlight w:val="none"/>
        </w:rPr>
        <w:t>注：依据《财政部关于印发〈政府采购竞争性磋商采购方式管理暂行办法〉的通知》（财库〔2014〕214号）补充通知，采用竞争性磋商采购方式采购的政府购买服务项目（含政府和社会资本合作项目），在采购过程中符合要求的供应商（社会资本）只有2家的，竞争性磋商采购活动可以继续进行（本规定是特指：磋商开始时符合资格条件的供应商有三家及以上，磋商过程中因供应商中途退出导致符合条件的供应商只有两家的情况下，采购活动可以继续进行。）。</w:t>
      </w:r>
    </w:p>
    <w:bookmarkEnd w:id="555"/>
    <w:p w14:paraId="3E9C49FD">
      <w:pPr>
        <w:rPr>
          <w:rFonts w:hint="eastAsia" w:ascii="仿宋" w:hAnsi="仿宋" w:eastAsia="仿宋" w:cs="仿宋"/>
          <w:sz w:val="28"/>
          <w:szCs w:val="28"/>
          <w:highlight w:val="none"/>
        </w:rPr>
      </w:pPr>
      <w:bookmarkStart w:id="607" w:name="_Toc16903"/>
      <w:bookmarkStart w:id="608" w:name="_Toc13202"/>
      <w:r>
        <w:rPr>
          <w:rFonts w:hint="eastAsia" w:ascii="仿宋" w:hAnsi="仿宋" w:eastAsia="仿宋" w:cs="仿宋"/>
          <w:sz w:val="28"/>
          <w:szCs w:val="28"/>
          <w:highlight w:val="none"/>
        </w:rPr>
        <w:br w:type="page"/>
      </w:r>
    </w:p>
    <w:p w14:paraId="13E9807E">
      <w:pPr>
        <w:pStyle w:val="7"/>
        <w:bidi w:val="0"/>
        <w:jc w:val="center"/>
        <w:rPr>
          <w:rFonts w:hint="eastAsia" w:ascii="仿宋" w:hAnsi="仿宋" w:eastAsia="仿宋" w:cs="仿宋"/>
          <w:highlight w:val="none"/>
          <w:lang w:val="en-US" w:eastAsia="zh-CN"/>
        </w:rPr>
      </w:pPr>
      <w:bookmarkStart w:id="609" w:name="_Toc14075"/>
      <w:r>
        <w:rPr>
          <w:rFonts w:hint="eastAsia" w:ascii="仿宋" w:hAnsi="仿宋" w:eastAsia="仿宋" w:cs="仿宋"/>
          <w:highlight w:val="none"/>
          <w:lang w:val="en-US" w:eastAsia="zh-CN"/>
        </w:rPr>
        <w:t xml:space="preserve">第六章   </w:t>
      </w:r>
      <w:bookmarkEnd w:id="607"/>
      <w:bookmarkEnd w:id="608"/>
      <w:r>
        <w:rPr>
          <w:rFonts w:hint="eastAsia" w:ascii="仿宋" w:hAnsi="仿宋" w:eastAsia="仿宋" w:cs="仿宋"/>
          <w:highlight w:val="none"/>
          <w:lang w:val="en-US" w:eastAsia="zh-CN"/>
        </w:rPr>
        <w:t>政府采购合同</w:t>
      </w:r>
      <w:bookmarkEnd w:id="609"/>
    </w:p>
    <w:p w14:paraId="2DBF90A8">
      <w:pPr>
        <w:spacing w:before="101" w:line="223" w:lineRule="auto"/>
        <w:ind w:left="3084"/>
        <w:outlineLvl w:val="9"/>
        <w:rPr>
          <w:rFonts w:hint="eastAsia" w:ascii="仿宋" w:hAnsi="仿宋" w:eastAsia="仿宋" w:cs="仿宋"/>
          <w:spacing w:val="19"/>
          <w:sz w:val="31"/>
          <w:szCs w:val="31"/>
          <w:highlight w:val="none"/>
          <w14:textOutline w14:w="5727" w14:cap="flat" w14:cmpd="sng" w14:algn="ctr">
            <w14:solidFill>
              <w14:srgbClr w14:val="000000"/>
            </w14:solidFill>
            <w14:prstDash w14:val="solid"/>
            <w14:miter w14:val="0"/>
          </w14:textOutline>
        </w:rPr>
      </w:pPr>
    </w:p>
    <w:p w14:paraId="4EF8A264">
      <w:pPr>
        <w:ind w:firstLine="562" w:firstLineChars="200"/>
        <w:rPr>
          <w:rFonts w:hint="eastAsia" w:ascii="仿宋" w:hAnsi="仿宋" w:eastAsia="仿宋" w:cs="仿宋"/>
          <w:b/>
          <w:bCs/>
          <w:sz w:val="28"/>
          <w:szCs w:val="28"/>
          <w:highlight w:val="none"/>
        </w:rPr>
      </w:pPr>
      <w:bookmarkStart w:id="610" w:name="_Toc29292"/>
      <w:bookmarkStart w:id="611" w:name="_Toc4406"/>
      <w:bookmarkStart w:id="612" w:name="_Toc22323"/>
      <w:bookmarkStart w:id="613" w:name="_Toc511035933"/>
      <w:bookmarkStart w:id="614" w:name="_Toc484453865"/>
      <w:bookmarkStart w:id="615" w:name="_Toc9510"/>
      <w:r>
        <w:rPr>
          <w:rFonts w:hint="eastAsia" w:ascii="仿宋" w:hAnsi="仿宋" w:eastAsia="仿宋" w:cs="仿宋"/>
          <w:b/>
          <w:bCs/>
          <w:sz w:val="28"/>
          <w:szCs w:val="28"/>
          <w:highlight w:val="none"/>
        </w:rPr>
        <w:t>合同条款及格式使用住房城乡建设部、国家工商行政管理局2017年9月22日印发的《建设工程施工合同（示范文本）》（GF-2017-0201）（建市[2017]214号）</w:t>
      </w:r>
    </w:p>
    <w:p w14:paraId="5A4B07BC">
      <w:pPr>
        <w:pStyle w:val="37"/>
        <w:rPr>
          <w:rFonts w:hint="eastAsia" w:ascii="仿宋" w:hAnsi="仿宋" w:eastAsia="仿宋" w:cs="仿宋"/>
          <w:sz w:val="28"/>
          <w:szCs w:val="28"/>
          <w:highlight w:val="none"/>
        </w:rPr>
      </w:pPr>
    </w:p>
    <w:p w14:paraId="0934DD99">
      <w:pPr>
        <w:keepNext/>
        <w:keepLines/>
        <w:spacing w:before="100" w:after="100" w:line="360" w:lineRule="auto"/>
        <w:ind w:firstLine="562" w:firstLineChars="200"/>
        <w:jc w:val="center"/>
        <w:rPr>
          <w:rFonts w:hint="eastAsia" w:ascii="仿宋" w:hAnsi="仿宋" w:eastAsia="仿宋" w:cs="仿宋"/>
          <w:sz w:val="28"/>
          <w:szCs w:val="28"/>
          <w:highlight w:val="none"/>
        </w:rPr>
      </w:pPr>
      <w:bookmarkStart w:id="616" w:name="_Toc26320"/>
      <w:bookmarkStart w:id="617" w:name="_Toc16516"/>
      <w:bookmarkStart w:id="618" w:name="_Toc511035930"/>
      <w:bookmarkStart w:id="619" w:name="_Toc7211"/>
      <w:bookmarkStart w:id="620" w:name="_Toc30697"/>
      <w:bookmarkStart w:id="621" w:name="_Toc484453862"/>
      <w:r>
        <w:rPr>
          <w:rFonts w:hint="eastAsia" w:ascii="仿宋" w:hAnsi="仿宋" w:eastAsia="仿宋" w:cs="仿宋"/>
          <w:b/>
          <w:bCs/>
          <w:sz w:val="28"/>
          <w:szCs w:val="28"/>
          <w:highlight w:val="none"/>
        </w:rPr>
        <w:t>一、合同协议书</w:t>
      </w:r>
      <w:bookmarkEnd w:id="616"/>
      <w:bookmarkEnd w:id="617"/>
      <w:bookmarkEnd w:id="618"/>
      <w:bookmarkEnd w:id="619"/>
      <w:bookmarkEnd w:id="620"/>
      <w:bookmarkEnd w:id="621"/>
    </w:p>
    <w:p w14:paraId="2B513385">
      <w:pPr>
        <w:spacing w:line="400" w:lineRule="exact"/>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发包人（全称）：</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淮南市总工会</w:t>
      </w:r>
    </w:p>
    <w:p w14:paraId="4808413D">
      <w:pPr>
        <w:spacing w:line="400" w:lineRule="exact"/>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承包人（全称）：</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45537923">
      <w:pPr>
        <w:spacing w:line="4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淮南市工人文化宫（山南）1- 7层装修装饰项目</w:t>
      </w:r>
      <w:r>
        <w:rPr>
          <w:rFonts w:hint="eastAsia" w:ascii="仿宋" w:hAnsi="仿宋" w:eastAsia="仿宋" w:cs="仿宋"/>
          <w:color w:val="000000" w:themeColor="text1"/>
          <w:sz w:val="28"/>
          <w:szCs w:val="28"/>
          <w:highlight w:val="none"/>
          <w14:textFill>
            <w14:solidFill>
              <w14:schemeClr w14:val="tx1"/>
            </w14:solidFill>
          </w14:textFill>
        </w:rPr>
        <w:t>工程施工及有关事项协商一致，共同达成如下协议：</w:t>
      </w:r>
    </w:p>
    <w:p w14:paraId="6D752F5B">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1、工程概况</w:t>
      </w:r>
    </w:p>
    <w:p w14:paraId="3747EDEF">
      <w:pPr>
        <w:autoSpaceDE w:val="0"/>
        <w:autoSpaceDN w:val="0"/>
        <w:spacing w:line="40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（1）工程名称</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淮南市工人文化宫（山南）1- 7层装修装饰项目</w:t>
      </w:r>
      <w:r>
        <w:rPr>
          <w:rFonts w:hint="eastAsia" w:ascii="仿宋" w:hAnsi="仿宋" w:eastAsia="仿宋" w:cs="仿宋"/>
          <w:color w:val="000000" w:themeColor="text1"/>
          <w:sz w:val="28"/>
          <w:szCs w:val="28"/>
          <w:highlight w:val="none"/>
          <w14:textFill>
            <w14:solidFill>
              <w14:schemeClr w14:val="tx1"/>
            </w14:solidFill>
          </w14:textFill>
        </w:rPr>
        <w:t>。</w:t>
      </w:r>
    </w:p>
    <w:p w14:paraId="1A83F6D6">
      <w:pPr>
        <w:autoSpaceDE w:val="0"/>
        <w:autoSpaceDN w:val="0"/>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（2）工程地点：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淮南市总工会</w:t>
      </w:r>
      <w:r>
        <w:rPr>
          <w:rFonts w:hint="eastAsia" w:ascii="仿宋" w:hAnsi="仿宋" w:eastAsia="仿宋" w:cs="仿宋"/>
          <w:color w:val="000000" w:themeColor="text1"/>
          <w:sz w:val="28"/>
          <w:szCs w:val="28"/>
          <w:highlight w:val="none"/>
          <w14:textFill>
            <w14:solidFill>
              <w14:schemeClr w14:val="tx1"/>
            </w14:solidFill>
          </w14:textFill>
        </w:rPr>
        <w:t>。</w:t>
      </w:r>
    </w:p>
    <w:p w14:paraId="76BA33B3">
      <w:pPr>
        <w:autoSpaceDE w:val="0"/>
        <w:autoSpaceDN w:val="0"/>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（3）资金来源：</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自筹资金</w:t>
      </w:r>
      <w:r>
        <w:rPr>
          <w:rFonts w:hint="eastAsia" w:ascii="仿宋" w:hAnsi="仿宋" w:eastAsia="仿宋" w:cs="仿宋"/>
          <w:color w:val="000000" w:themeColor="text1"/>
          <w:sz w:val="28"/>
          <w:szCs w:val="28"/>
          <w:highlight w:val="none"/>
          <w:u w:val="single"/>
          <w14:textFill>
            <w14:solidFill>
              <w14:schemeClr w14:val="tx1"/>
            </w14:solidFill>
          </w14:textFill>
        </w:rPr>
        <w:t xml:space="preserve">     </w:t>
      </w:r>
      <w:r>
        <w:rPr>
          <w:rFonts w:hint="eastAsia" w:ascii="仿宋" w:hAnsi="仿宋" w:eastAsia="仿宋" w:cs="仿宋"/>
          <w:bCs/>
          <w:color w:val="000000" w:themeColor="text1"/>
          <w:sz w:val="28"/>
          <w:szCs w:val="28"/>
          <w:highlight w:val="none"/>
          <w14:textFill>
            <w14:solidFill>
              <w14:schemeClr w14:val="tx1"/>
            </w14:solidFill>
          </w14:textFill>
        </w:rPr>
        <w:t>。</w:t>
      </w:r>
    </w:p>
    <w:p w14:paraId="5B8D066C">
      <w:pPr>
        <w:autoSpaceDE w:val="0"/>
        <w:autoSpaceDN w:val="0"/>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Cs/>
          <w:color w:val="000000" w:themeColor="text1"/>
          <w:sz w:val="28"/>
          <w:szCs w:val="28"/>
          <w:highlight w:val="none"/>
          <w14:textFill>
            <w14:solidFill>
              <w14:schemeClr w14:val="tx1"/>
            </w14:solidFill>
          </w14:textFill>
        </w:rPr>
        <w:t>）工程内容：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淮南市工人文化宫（山南）1- 7层装修装饰项目，</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包含图纸、工程量清单、招标文件中的全部内容</w:t>
      </w:r>
      <w:r>
        <w:rPr>
          <w:rFonts w:hint="eastAsia" w:ascii="仿宋" w:hAnsi="仿宋" w:eastAsia="仿宋" w:cs="仿宋"/>
          <w:bCs/>
          <w:color w:val="000000" w:themeColor="text1"/>
          <w:sz w:val="28"/>
          <w:szCs w:val="28"/>
          <w:highlight w:val="none"/>
          <w14:textFill>
            <w14:solidFill>
              <w14:schemeClr w14:val="tx1"/>
            </w14:solidFill>
          </w14:textFill>
        </w:rPr>
        <w:t>。</w:t>
      </w:r>
    </w:p>
    <w:p w14:paraId="4731A35A">
      <w:pPr>
        <w:autoSpaceDE w:val="0"/>
        <w:autoSpaceDN w:val="0"/>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群体工程应附《承包人承揽工程项目一览表》（附件1）。</w:t>
      </w:r>
    </w:p>
    <w:p w14:paraId="4896044E">
      <w:pPr>
        <w:autoSpaceDE w:val="0"/>
        <w:autoSpaceDN w:val="0"/>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Cs/>
          <w:color w:val="000000" w:themeColor="text1"/>
          <w:sz w:val="28"/>
          <w:szCs w:val="28"/>
          <w:highlight w:val="none"/>
          <w14:textFill>
            <w14:solidFill>
              <w14:schemeClr w14:val="tx1"/>
            </w14:solidFill>
          </w14:textFill>
        </w:rPr>
        <w:t>）工程承包范围：</w:t>
      </w:r>
    </w:p>
    <w:p w14:paraId="76653B4C">
      <w:pPr>
        <w:keepNext/>
        <w:keepLines/>
        <w:spacing w:before="120" w:after="120" w:line="400" w:lineRule="exac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14:textFill>
            <w14:solidFill>
              <w14:schemeClr w14:val="tx1"/>
            </w14:solidFill>
          </w14:textFill>
        </w:rPr>
        <w:t>。</w:t>
      </w:r>
    </w:p>
    <w:p w14:paraId="5710935E">
      <w:pPr>
        <w:keepNext/>
        <w:keepLines/>
        <w:spacing w:before="120" w:after="120" w:line="400" w:lineRule="exac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2、合同工期</w:t>
      </w:r>
    </w:p>
    <w:p w14:paraId="022E27C5">
      <w:pPr>
        <w:autoSpaceDE w:val="0"/>
        <w:autoSpaceDN w:val="0"/>
        <w:spacing w:line="4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计划开工日期：</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2025</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日。</w:t>
      </w:r>
    </w:p>
    <w:p w14:paraId="00101426">
      <w:pPr>
        <w:autoSpaceDE w:val="0"/>
        <w:autoSpaceDN w:val="0"/>
        <w:spacing w:line="4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计划竣工日期：</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2025</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日。</w:t>
      </w:r>
    </w:p>
    <w:p w14:paraId="2FA8B2D9">
      <w:pPr>
        <w:autoSpaceDE w:val="0"/>
        <w:autoSpaceDN w:val="0"/>
        <w:spacing w:line="4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工期总</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数：</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。工期总</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数与根据前述计划开竣工日期计算的工期天数不一致的，以工期总</w:t>
      </w:r>
      <w:r>
        <w:rPr>
          <w:rFonts w:hint="eastAsia" w:ascii="仿宋" w:hAnsi="仿宋" w:eastAsia="仿宋" w:cs="仿宋"/>
          <w:color w:val="000000" w:themeColor="text1"/>
          <w:sz w:val="28"/>
          <w:szCs w:val="28"/>
          <w:highlight w:val="none"/>
          <w:lang w:eastAsia="zh-CN"/>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数为准。</w:t>
      </w:r>
    </w:p>
    <w:p w14:paraId="4C92986D">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3、质量标准</w:t>
      </w:r>
    </w:p>
    <w:p w14:paraId="36845524">
      <w:pPr>
        <w:autoSpaceDE w:val="0"/>
        <w:autoSpaceDN w:val="0"/>
        <w:spacing w:line="4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工程质量符合</w:t>
      </w:r>
      <w:r>
        <w:rPr>
          <w:rFonts w:hint="eastAsia" w:ascii="仿宋" w:hAnsi="仿宋" w:eastAsia="仿宋" w:cs="仿宋"/>
          <w:color w:val="000000" w:themeColor="text1"/>
          <w:sz w:val="28"/>
          <w:szCs w:val="28"/>
          <w:highlight w:val="none"/>
          <w:u w:val="single"/>
          <w14:textFill>
            <w14:solidFill>
              <w14:schemeClr w14:val="tx1"/>
            </w14:solidFill>
          </w14:textFill>
        </w:rPr>
        <w:t>合格</w:t>
      </w:r>
      <w:r>
        <w:rPr>
          <w:rFonts w:hint="eastAsia" w:ascii="仿宋" w:hAnsi="仿宋" w:eastAsia="仿宋" w:cs="仿宋"/>
          <w:color w:val="000000" w:themeColor="text1"/>
          <w:sz w:val="28"/>
          <w:szCs w:val="28"/>
          <w:highlight w:val="none"/>
          <w14:textFill>
            <w14:solidFill>
              <w14:schemeClr w14:val="tx1"/>
            </w14:solidFill>
          </w14:textFill>
        </w:rPr>
        <w:t>标准。</w:t>
      </w:r>
    </w:p>
    <w:p w14:paraId="67536669">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4、签约合同价与合同价格形式</w:t>
      </w:r>
      <w:r>
        <w:rPr>
          <w:rFonts w:hint="eastAsia" w:ascii="仿宋" w:hAnsi="仿宋" w:eastAsia="仿宋" w:cs="仿宋"/>
          <w:bCs/>
          <w:color w:val="000000" w:themeColor="text1"/>
          <w:sz w:val="28"/>
          <w:szCs w:val="28"/>
          <w:highlight w:val="none"/>
          <w14:textFill>
            <w14:solidFill>
              <w14:schemeClr w14:val="tx1"/>
            </w14:solidFill>
          </w14:textFill>
        </w:rPr>
        <w:tab/>
      </w:r>
    </w:p>
    <w:p w14:paraId="05B6ECF3">
      <w:pPr>
        <w:spacing w:line="4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4.1签约合同价为：</w:t>
      </w:r>
    </w:p>
    <w:p w14:paraId="0318E5F1">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人民币（大写）</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p>
    <w:p w14:paraId="47C66D68">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其中：</w:t>
      </w:r>
    </w:p>
    <w:p w14:paraId="4C8DBE19">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（1）安全文明施工费：</w:t>
      </w:r>
    </w:p>
    <w:p w14:paraId="0EBAB27E">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人民币（大写）</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p>
    <w:p w14:paraId="4578DD75">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（2）材料和工程设备暂估价金额：</w:t>
      </w:r>
    </w:p>
    <w:p w14:paraId="4DF53C06">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人民币（大写）</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p>
    <w:p w14:paraId="42E07B04">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（3）专业工程暂估价金额：</w:t>
      </w:r>
    </w:p>
    <w:p w14:paraId="60168978">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人民币（大写）</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p>
    <w:p w14:paraId="2F73BF1B">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（4）暂列金额：</w:t>
      </w:r>
    </w:p>
    <w:p w14:paraId="50C2B7B9">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人民币（大写）</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w:t>
      </w:r>
    </w:p>
    <w:p w14:paraId="610987FE">
      <w:pPr>
        <w:autoSpaceDE w:val="0"/>
        <w:autoSpaceDN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4.2合同价格形式：</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4843EAA2">
      <w:pPr>
        <w:keepNext/>
        <w:keepLines/>
        <w:spacing w:before="120" w:after="120" w:line="400" w:lineRule="exac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5、项目经理</w:t>
      </w:r>
    </w:p>
    <w:p w14:paraId="7FEFEA3C">
      <w:pPr>
        <w:autoSpaceDE w:val="0"/>
        <w:autoSpaceDN w:val="0"/>
        <w:spacing w:line="4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承包人项目经理（项目负责人）：</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，专业证号：</w:t>
      </w:r>
      <w:r>
        <w:rPr>
          <w:rFonts w:hint="eastAsia" w:ascii="仿宋" w:hAnsi="仿宋" w:eastAsia="仿宋" w:cs="仿宋"/>
          <w:color w:val="000000" w:themeColor="text1"/>
          <w:sz w:val="28"/>
          <w:szCs w:val="28"/>
          <w:highlight w:val="none"/>
          <w:u w:val="single"/>
          <w14:textFill>
            <w14:solidFill>
              <w14:schemeClr w14:val="tx1"/>
            </w14:solidFill>
          </w14:textFill>
        </w:rPr>
        <w:t xml:space="preserve">        </w:t>
      </w:r>
      <w:r>
        <w:rPr>
          <w:rFonts w:hint="eastAsia" w:ascii="仿宋" w:hAnsi="仿宋" w:eastAsia="仿宋" w:cs="仿宋"/>
          <w:color w:val="000000" w:themeColor="text1"/>
          <w:sz w:val="28"/>
          <w:szCs w:val="28"/>
          <w:highlight w:val="none"/>
          <w14:textFill>
            <w14:solidFill>
              <w14:schemeClr w14:val="tx1"/>
            </w14:solidFill>
          </w14:textFill>
        </w:rPr>
        <w:t>。</w:t>
      </w:r>
    </w:p>
    <w:p w14:paraId="482986EC">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6、合同文件构成</w:t>
      </w:r>
    </w:p>
    <w:p w14:paraId="4AE93D0D">
      <w:pPr>
        <w:spacing w:line="400" w:lineRule="exac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本协议书与下列文件一起构成合同文件：</w:t>
      </w:r>
    </w:p>
    <w:p w14:paraId="3A1D0FB1">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（1）中标通知书（如果有）；</w:t>
      </w:r>
    </w:p>
    <w:p w14:paraId="4B7B975D">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（2）投标函及其附录（如果有）； </w:t>
      </w:r>
    </w:p>
    <w:p w14:paraId="2E640281">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（3）专用合同条款及其附件；</w:t>
      </w:r>
    </w:p>
    <w:p w14:paraId="57944FDF">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（4）通用合同条款；</w:t>
      </w:r>
    </w:p>
    <w:p w14:paraId="4488502D">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（5）技术标准和要求；</w:t>
      </w:r>
    </w:p>
    <w:p w14:paraId="0A32A166">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（6）图纸；</w:t>
      </w:r>
    </w:p>
    <w:p w14:paraId="1221BA89">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（7）已标价工程量清单或预算书；</w:t>
      </w:r>
    </w:p>
    <w:p w14:paraId="7A3C6CD2">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（8）其他合同文件。</w:t>
      </w:r>
    </w:p>
    <w:p w14:paraId="58C681A0">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在合同订立及履行过程中形成的与合同有关的文件均构成合同文件组成部分。</w:t>
      </w:r>
    </w:p>
    <w:p w14:paraId="2EA280CE">
      <w:pPr>
        <w:autoSpaceDE w:val="0"/>
        <w:autoSpaceDN w:val="0"/>
        <w:spacing w:line="4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1FBD8776">
      <w:pPr>
        <w:spacing w:line="400" w:lineRule="exac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8、词语含义</w:t>
      </w:r>
    </w:p>
    <w:p w14:paraId="04FD5F53">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本协议书中词语含义与第二部分通用合同条款中赋予的含义相同。</w:t>
      </w:r>
    </w:p>
    <w:p w14:paraId="07A16B2B">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9、签订时间</w:t>
      </w:r>
    </w:p>
    <w:p w14:paraId="7B2DF1F2">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本合同于</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年</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日签订。</w:t>
      </w:r>
    </w:p>
    <w:p w14:paraId="5007503C">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10、签订地点</w:t>
      </w:r>
    </w:p>
    <w:p w14:paraId="0FB157E8">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本合同在</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eastAsia="zh-CN"/>
          <w14:textFill>
            <w14:solidFill>
              <w14:schemeClr w14:val="tx1"/>
            </w14:solidFill>
          </w14:textFill>
        </w:rPr>
        <w:t>淮南市总工会</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签订。</w:t>
      </w:r>
    </w:p>
    <w:p w14:paraId="7FD83379">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11、补充协议</w:t>
      </w:r>
    </w:p>
    <w:p w14:paraId="0522756D">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合同未尽事宜，合同当事人另行签订补充协议，补充协议是合同的组成部分。</w:t>
      </w:r>
    </w:p>
    <w:p w14:paraId="652ECFB1">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12、因采购人行政行为导致合法权益受损的市场主体实施补偿救济的违约责任:</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 xml:space="preserve"> 无 </w:t>
      </w:r>
      <w:r>
        <w:rPr>
          <w:rFonts w:hint="eastAsia" w:ascii="仿宋" w:hAnsi="仿宋" w:eastAsia="仿宋" w:cs="仿宋"/>
          <w:bCs/>
          <w:color w:val="000000" w:themeColor="text1"/>
          <w:sz w:val="28"/>
          <w:szCs w:val="28"/>
          <w:highlight w:val="none"/>
          <w14:textFill>
            <w14:solidFill>
              <w14:schemeClr w14:val="tx1"/>
            </w14:solidFill>
          </w14:textFill>
        </w:rPr>
        <w:t>。（机关和参公事业单位适用）</w:t>
      </w:r>
    </w:p>
    <w:p w14:paraId="24C640EF">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13、合同生效</w:t>
      </w:r>
    </w:p>
    <w:p w14:paraId="0EE1A107">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本合同自</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u w:val="single" w:color="000000"/>
          <w14:textFill>
            <w14:solidFill>
              <w14:schemeClr w14:val="tx1"/>
            </w14:solidFill>
          </w14:textFill>
        </w:rPr>
        <w:t>双方法定代表人或其授权代理人签字、加盖单位印章后</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生效。</w:t>
      </w:r>
    </w:p>
    <w:p w14:paraId="12B3D65F">
      <w:pPr>
        <w:keepNext/>
        <w:keepLines/>
        <w:spacing w:before="120" w:after="120" w:line="400" w:lineRule="exact"/>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14、</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其他要求：本项目为装修装饰项目，购买的装修装饰材料需符合国家规范要求，同时必须得到业主认可，具体详见招标文件内附件清单。</w:t>
      </w:r>
    </w:p>
    <w:p w14:paraId="2372E721">
      <w:pPr>
        <w:keepNext/>
        <w:keepLines/>
        <w:spacing w:before="120" w:after="120" w:line="40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15、</w:t>
      </w:r>
      <w:r>
        <w:rPr>
          <w:rFonts w:hint="eastAsia" w:ascii="仿宋" w:hAnsi="仿宋" w:eastAsia="仿宋" w:cs="仿宋"/>
          <w:bCs/>
          <w:color w:val="000000" w:themeColor="text1"/>
          <w:sz w:val="28"/>
          <w:szCs w:val="28"/>
          <w:highlight w:val="none"/>
          <w14:textFill>
            <w14:solidFill>
              <w14:schemeClr w14:val="tx1"/>
            </w14:solidFill>
          </w14:textFill>
        </w:rPr>
        <w:t>合同份数</w:t>
      </w:r>
    </w:p>
    <w:p w14:paraId="28C9BC27">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本合同一式</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份，均具有同等法律效力，发包人执</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份，承包人执</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份</w:t>
      </w:r>
      <w:r>
        <w:rPr>
          <w:rFonts w:hint="eastAsia" w:ascii="仿宋" w:hAnsi="仿宋" w:eastAsia="仿宋" w:cs="仿宋"/>
          <w:bCs/>
          <w:color w:val="000000" w:themeColor="text1"/>
          <w:sz w:val="28"/>
          <w:szCs w:val="28"/>
          <w:highlight w:val="none"/>
          <w:lang w:eastAsia="zh-CN"/>
          <w14:textFill>
            <w14:solidFill>
              <w14:schemeClr w14:val="tx1"/>
            </w14:solidFill>
          </w14:textFill>
        </w:rPr>
        <w:t>，代理单位</w:t>
      </w:r>
      <w:r>
        <w:rPr>
          <w:rFonts w:hint="eastAsia" w:ascii="仿宋" w:hAnsi="仿宋" w:eastAsia="仿宋" w:cs="仿宋"/>
          <w:bCs/>
          <w:color w:val="000000" w:themeColor="text1"/>
          <w:sz w:val="28"/>
          <w:szCs w:val="28"/>
          <w:highlight w:val="none"/>
          <w14:textFill>
            <w14:solidFill>
              <w14:schemeClr w14:val="tx1"/>
            </w14:solidFill>
          </w14:textFill>
        </w:rPr>
        <w:t>执</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份。</w:t>
      </w:r>
    </w:p>
    <w:p w14:paraId="13F936ED">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p>
    <w:p w14:paraId="56B1A234">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发包人：  （公章）             承包人：  （公章）</w:t>
      </w:r>
    </w:p>
    <w:p w14:paraId="20F191CF">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p>
    <w:p w14:paraId="2BA9629C">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法定代表人或其委托代理人：  法定代表人或其委托代理人：</w:t>
      </w:r>
    </w:p>
    <w:p w14:paraId="5DDB5C88">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（签字）                    （签字）</w:t>
      </w:r>
    </w:p>
    <w:p w14:paraId="19FC383A">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组织机构代码：         组织机构代码：           </w:t>
      </w:r>
    </w:p>
    <w:p w14:paraId="0FF22C68">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地  址：       地  址：        </w:t>
      </w:r>
    </w:p>
    <w:p w14:paraId="3A7DD4F8">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邮政编码：        邮政编码：   </w:t>
      </w:r>
    </w:p>
    <w:p w14:paraId="62FA4B77">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法定代表人：             法定代表人：             </w:t>
      </w:r>
    </w:p>
    <w:p w14:paraId="17C09208">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委托代理人：             委托代理人：             </w:t>
      </w:r>
    </w:p>
    <w:p w14:paraId="1600BCCE">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电  话：     电  话：     </w:t>
      </w:r>
    </w:p>
    <w:p w14:paraId="5735710E">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传  真：     传  真：     </w:t>
      </w:r>
    </w:p>
    <w:p w14:paraId="14EC12A0">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电子信箱：                   电子信箱：   </w:t>
      </w:r>
    </w:p>
    <w:p w14:paraId="05C3009F">
      <w:pPr>
        <w:spacing w:line="40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开户银行：     开户银行：   </w:t>
      </w:r>
    </w:p>
    <w:p w14:paraId="4430B0E5">
      <w:pPr>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bCs/>
          <w:color w:val="000000" w:themeColor="text1"/>
          <w:sz w:val="28"/>
          <w:szCs w:val="28"/>
          <w:highlight w:val="none"/>
          <w14:textFill>
            <w14:solidFill>
              <w14:schemeClr w14:val="tx1"/>
            </w14:solidFill>
          </w14:textFill>
        </w:rPr>
        <w:t xml:space="preserve">账  号：          账  号：  </w:t>
      </w:r>
      <w:r>
        <w:rPr>
          <w:rFonts w:hint="eastAsia" w:ascii="仿宋" w:hAnsi="仿宋" w:eastAsia="仿宋" w:cs="仿宋"/>
          <w:bCs/>
          <w:color w:val="000000"/>
          <w:sz w:val="28"/>
          <w:szCs w:val="28"/>
          <w:highlight w:val="none"/>
        </w:rPr>
        <w:t xml:space="preserve">    </w:t>
      </w:r>
      <w:bookmarkStart w:id="622" w:name="_Toc32696"/>
      <w:bookmarkStart w:id="623" w:name="_Toc511035931"/>
      <w:bookmarkStart w:id="624" w:name="_Toc29952"/>
      <w:bookmarkStart w:id="625" w:name="_Toc5153"/>
      <w:r>
        <w:rPr>
          <w:rFonts w:hint="eastAsia" w:ascii="仿宋" w:hAnsi="仿宋" w:eastAsia="仿宋" w:cs="仿宋"/>
          <w:b/>
          <w:bCs/>
          <w:sz w:val="28"/>
          <w:szCs w:val="28"/>
          <w:highlight w:val="none"/>
        </w:rPr>
        <w:br w:type="page"/>
      </w:r>
    </w:p>
    <w:bookmarkEnd w:id="610"/>
    <w:bookmarkEnd w:id="611"/>
    <w:bookmarkEnd w:id="612"/>
    <w:bookmarkEnd w:id="613"/>
    <w:bookmarkEnd w:id="614"/>
    <w:bookmarkEnd w:id="615"/>
    <w:bookmarkEnd w:id="622"/>
    <w:bookmarkEnd w:id="623"/>
    <w:bookmarkEnd w:id="624"/>
    <w:bookmarkEnd w:id="625"/>
    <w:p w14:paraId="4C68C367">
      <w:pPr>
        <w:keepNext/>
        <w:keepLines/>
        <w:spacing w:before="100" w:after="100" w:line="360" w:lineRule="auto"/>
        <w:ind w:firstLine="562" w:firstLineChars="2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w:t>
      </w:r>
      <w:r>
        <w:rPr>
          <w:rFonts w:hint="eastAsia" w:ascii="仿宋" w:hAnsi="仿宋" w:eastAsia="仿宋" w:cs="仿宋"/>
          <w:b/>
          <w:bCs/>
          <w:sz w:val="28"/>
          <w:szCs w:val="28"/>
          <w:highlight w:val="none"/>
          <w:lang w:eastAsia="zh-TW"/>
        </w:rPr>
        <w:t>通用条款</w:t>
      </w:r>
    </w:p>
    <w:p w14:paraId="52BDE415">
      <w:pPr>
        <w:ind w:firstLine="420"/>
        <w:rPr>
          <w:rFonts w:hint="eastAsia" w:ascii="仿宋" w:hAnsi="仿宋" w:eastAsia="仿宋" w:cs="仿宋"/>
          <w:b/>
          <w:sz w:val="28"/>
          <w:szCs w:val="28"/>
          <w:highlight w:val="none"/>
        </w:rPr>
      </w:pPr>
    </w:p>
    <w:p w14:paraId="551B2316">
      <w:pPr>
        <w:spacing w:line="360" w:lineRule="auto"/>
        <w:ind w:firstLine="562" w:firstLineChars="200"/>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执行GF-2017-0201合同文本的通用条款（略）</w:t>
      </w:r>
    </w:p>
    <w:p w14:paraId="75BF5E15">
      <w:pPr>
        <w:spacing w:line="360" w:lineRule="auto"/>
        <w:ind w:firstLine="420"/>
        <w:rPr>
          <w:rFonts w:hint="eastAsia" w:ascii="仿宋" w:hAnsi="仿宋" w:eastAsia="仿宋" w:cs="仿宋"/>
          <w:sz w:val="28"/>
          <w:szCs w:val="28"/>
          <w:highlight w:val="none"/>
        </w:rPr>
      </w:pPr>
    </w:p>
    <w:p w14:paraId="39DD0A2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通用合同主要条款详见GF-2017-0201标准建筑工程施工合同范本，其中实质性条款不能改变。</w:t>
      </w:r>
    </w:p>
    <w:p w14:paraId="481B831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通用合同主要条款第12.1合同价格形式分为总价合同和单价合同。固定总价合同为合同双方以总价形式，约定合同范围内双方的工作内容、责任与义务的合同形式。固定单价合同为合同双方以工程量清单和综合单价的形式，约定合同范围内双方的工作内容、责任与义务的合同形式。</w:t>
      </w:r>
    </w:p>
    <w:p w14:paraId="55AAB3CE">
      <w:pPr>
        <w:spacing w:line="360" w:lineRule="auto"/>
        <w:rPr>
          <w:rFonts w:hint="eastAsia" w:ascii="仿宋" w:hAnsi="仿宋" w:eastAsia="仿宋" w:cs="仿宋"/>
          <w:sz w:val="28"/>
          <w:szCs w:val="28"/>
          <w:highlight w:val="none"/>
        </w:rPr>
      </w:pPr>
    </w:p>
    <w:p w14:paraId="1A7744F1">
      <w:pPr>
        <w:rPr>
          <w:rFonts w:hint="eastAsia" w:ascii="仿宋" w:hAnsi="仿宋" w:eastAsia="仿宋" w:cs="仿宋"/>
          <w:sz w:val="28"/>
          <w:szCs w:val="28"/>
          <w:highlight w:val="none"/>
        </w:rPr>
      </w:pPr>
    </w:p>
    <w:p w14:paraId="495E8F0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0952A4">
      <w:pPr>
        <w:pStyle w:val="6"/>
        <w:rPr>
          <w:rFonts w:hint="eastAsia" w:ascii="仿宋" w:hAnsi="仿宋" w:eastAsia="仿宋" w:cs="仿宋"/>
          <w:sz w:val="28"/>
          <w:szCs w:val="28"/>
          <w:highlight w:val="none"/>
        </w:rPr>
      </w:pPr>
    </w:p>
    <w:p w14:paraId="4E536ADD">
      <w:pPr>
        <w:keepNext/>
        <w:keepLines/>
        <w:spacing w:before="100" w:after="100" w:line="360" w:lineRule="auto"/>
        <w:ind w:firstLine="562" w:firstLineChars="200"/>
        <w:jc w:val="center"/>
        <w:rPr>
          <w:rFonts w:hint="eastAsia" w:ascii="仿宋" w:hAnsi="仿宋" w:eastAsia="仿宋" w:cs="仿宋"/>
          <w:sz w:val="28"/>
          <w:szCs w:val="28"/>
          <w:highlight w:val="none"/>
        </w:rPr>
      </w:pPr>
      <w:bookmarkStart w:id="626" w:name="_Toc19161"/>
      <w:bookmarkStart w:id="627" w:name="_Toc12311"/>
      <w:bookmarkStart w:id="628" w:name="_Toc484453864"/>
      <w:bookmarkStart w:id="629" w:name="_Toc1261"/>
      <w:bookmarkStart w:id="630" w:name="_Toc14720"/>
      <w:bookmarkStart w:id="631" w:name="_Toc511035932"/>
      <w:r>
        <w:rPr>
          <w:rFonts w:hint="eastAsia" w:ascii="仿宋" w:hAnsi="仿宋" w:eastAsia="仿宋" w:cs="仿宋"/>
          <w:b/>
          <w:bCs/>
          <w:sz w:val="28"/>
          <w:szCs w:val="28"/>
          <w:highlight w:val="none"/>
        </w:rPr>
        <w:t>三、专用条款</w:t>
      </w:r>
      <w:bookmarkEnd w:id="626"/>
      <w:bookmarkEnd w:id="627"/>
      <w:bookmarkEnd w:id="628"/>
      <w:bookmarkEnd w:id="629"/>
      <w:bookmarkEnd w:id="630"/>
      <w:bookmarkEnd w:id="631"/>
    </w:p>
    <w:p w14:paraId="36FAE524">
      <w:pPr>
        <w:tabs>
          <w:tab w:val="left" w:pos="2376"/>
        </w:tabs>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一般约定</w:t>
      </w:r>
      <w:r>
        <w:rPr>
          <w:rFonts w:hint="eastAsia" w:ascii="仿宋" w:hAnsi="仿宋" w:eastAsia="仿宋" w:cs="仿宋"/>
          <w:sz w:val="28"/>
          <w:szCs w:val="28"/>
          <w:highlight w:val="none"/>
        </w:rPr>
        <w:tab/>
      </w:r>
    </w:p>
    <w:p w14:paraId="1F473AE7">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 词语定义</w:t>
      </w:r>
    </w:p>
    <w:p w14:paraId="349700BF">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1.1.1合同</w:t>
      </w:r>
    </w:p>
    <w:p w14:paraId="50602B25">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1.1.1.1 其他合同文件包括：</w:t>
      </w:r>
      <w:r>
        <w:rPr>
          <w:rFonts w:hint="eastAsia" w:ascii="仿宋" w:hAnsi="仿宋" w:eastAsia="仿宋" w:cs="仿宋"/>
          <w:kern w:val="1"/>
          <w:sz w:val="28"/>
          <w:szCs w:val="28"/>
          <w:highlight w:val="none"/>
          <w:u w:val="single"/>
        </w:rPr>
        <w:t>(1)本合同协议书及承诺书；(2)中标通知书；(3) 投标书及其附件；(4)本合同专用条款；(5)本合同通用条款；(6)标准、规范及有关技术资料；(7)图纸；（8）工程量清单；(9)工程报价单或预算书。</w:t>
      </w:r>
      <w:r>
        <w:rPr>
          <w:rFonts w:hint="eastAsia" w:ascii="仿宋" w:hAnsi="仿宋" w:eastAsia="仿宋" w:cs="仿宋"/>
          <w:sz w:val="28"/>
          <w:szCs w:val="28"/>
          <w:highlight w:val="none"/>
        </w:rPr>
        <w:t xml:space="preserve">     </w:t>
      </w:r>
    </w:p>
    <w:p w14:paraId="300B0133">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1.1.2 合同当事人及其他相关方</w:t>
      </w:r>
    </w:p>
    <w:p w14:paraId="2F155622">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1.1.2.1监理人：</w:t>
      </w:r>
    </w:p>
    <w:p w14:paraId="09EF0C8B">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名    称：</w:t>
      </w:r>
      <w:r>
        <w:rPr>
          <w:rFonts w:hint="eastAsia" w:ascii="仿宋" w:hAnsi="仿宋" w:eastAsia="仿宋" w:cs="仿宋"/>
          <w:kern w:val="1"/>
          <w:sz w:val="28"/>
          <w:szCs w:val="28"/>
          <w:highlight w:val="none"/>
          <w:u w:val="single"/>
        </w:rPr>
        <w:t xml:space="preserve">                </w:t>
      </w:r>
      <w:r>
        <w:rPr>
          <w:rFonts w:hint="eastAsia" w:ascii="仿宋" w:hAnsi="仿宋" w:eastAsia="仿宋" w:cs="仿宋"/>
          <w:kern w:val="1"/>
          <w:sz w:val="28"/>
          <w:szCs w:val="28"/>
          <w:highlight w:val="none"/>
        </w:rPr>
        <w:t>；</w:t>
      </w:r>
    </w:p>
    <w:p w14:paraId="628C326E">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资质类别和等级：</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149855D8">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联系电话：</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63A85BEA">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电子信箱：</w:t>
      </w:r>
      <w:r>
        <w:rPr>
          <w:rFonts w:hint="eastAsia" w:ascii="仿宋" w:hAnsi="仿宋" w:eastAsia="仿宋" w:cs="仿宋"/>
          <w:kern w:val="1"/>
          <w:sz w:val="28"/>
          <w:szCs w:val="28"/>
          <w:highlight w:val="none"/>
          <w:u w:val="single"/>
        </w:rPr>
        <w:t>                </w:t>
      </w:r>
      <w:r>
        <w:rPr>
          <w:rFonts w:hint="eastAsia" w:ascii="仿宋" w:hAnsi="仿宋" w:eastAsia="仿宋" w:cs="仿宋"/>
          <w:kern w:val="1"/>
          <w:sz w:val="28"/>
          <w:szCs w:val="28"/>
          <w:highlight w:val="none"/>
        </w:rPr>
        <w:t>；</w:t>
      </w:r>
    </w:p>
    <w:p w14:paraId="0A22B1DF">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通信地址：</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203CD562">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1.1.2.2 设计人：</w:t>
      </w:r>
    </w:p>
    <w:p w14:paraId="0B6493EA">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名    称：</w:t>
      </w:r>
      <w:r>
        <w:rPr>
          <w:rFonts w:hint="eastAsia" w:ascii="仿宋" w:hAnsi="仿宋" w:eastAsia="仿宋" w:cs="仿宋"/>
          <w:kern w:val="1"/>
          <w:sz w:val="28"/>
          <w:szCs w:val="28"/>
          <w:highlight w:val="none"/>
          <w:u w:val="single"/>
        </w:rPr>
        <w:t xml:space="preserve">                 </w:t>
      </w:r>
      <w:r>
        <w:rPr>
          <w:rFonts w:hint="eastAsia" w:ascii="仿宋" w:hAnsi="仿宋" w:eastAsia="仿宋" w:cs="仿宋"/>
          <w:kern w:val="1"/>
          <w:sz w:val="28"/>
          <w:szCs w:val="28"/>
          <w:highlight w:val="none"/>
        </w:rPr>
        <w:t>；</w:t>
      </w:r>
    </w:p>
    <w:p w14:paraId="78759EE5">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资质类别和等级：</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18F6A6CE">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联系电话：</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7A3A760C">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电子信箱：</w:t>
      </w:r>
      <w:r>
        <w:rPr>
          <w:rFonts w:hint="eastAsia" w:ascii="仿宋" w:hAnsi="仿宋" w:eastAsia="仿宋" w:cs="仿宋"/>
          <w:kern w:val="1"/>
          <w:sz w:val="28"/>
          <w:szCs w:val="28"/>
          <w:highlight w:val="none"/>
          <w:u w:val="single"/>
        </w:rPr>
        <w:t xml:space="preserve">                     </w:t>
      </w:r>
      <w:r>
        <w:rPr>
          <w:rFonts w:hint="eastAsia" w:ascii="仿宋" w:hAnsi="仿宋" w:eastAsia="仿宋" w:cs="仿宋"/>
          <w:kern w:val="1"/>
          <w:sz w:val="28"/>
          <w:szCs w:val="28"/>
          <w:highlight w:val="none"/>
        </w:rPr>
        <w:t>；</w:t>
      </w:r>
    </w:p>
    <w:p w14:paraId="6C054127">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通信地址：</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7D00F8E2">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1.1.3 工程和设备</w:t>
      </w:r>
    </w:p>
    <w:p w14:paraId="67B4162C">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1.1.3.1 作为施工现场组成部分的其他场所包括：</w:t>
      </w:r>
      <w:r>
        <w:rPr>
          <w:rFonts w:hint="eastAsia" w:ascii="仿宋" w:hAnsi="仿宋" w:eastAsia="仿宋" w:cs="仿宋"/>
          <w:kern w:val="1"/>
          <w:sz w:val="28"/>
          <w:szCs w:val="28"/>
          <w:highlight w:val="none"/>
          <w:u w:val="single"/>
        </w:rPr>
        <w:t xml:space="preserve">           </w:t>
      </w:r>
    </w:p>
    <w:p w14:paraId="4F42ED52">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u w:val="single"/>
        </w:rPr>
        <w:t xml:space="preserve">                                      </w:t>
      </w:r>
      <w:r>
        <w:rPr>
          <w:rFonts w:hint="eastAsia" w:ascii="仿宋" w:hAnsi="仿宋" w:eastAsia="仿宋" w:cs="仿宋"/>
          <w:kern w:val="1"/>
          <w:sz w:val="28"/>
          <w:szCs w:val="28"/>
          <w:highlight w:val="none"/>
        </w:rPr>
        <w:t>。</w:t>
      </w:r>
    </w:p>
    <w:p w14:paraId="7F6B1E7F">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1.1.3.2 永久占地包括：</w:t>
      </w:r>
      <w:r>
        <w:rPr>
          <w:rFonts w:hint="eastAsia" w:ascii="仿宋" w:hAnsi="仿宋" w:eastAsia="仿宋" w:cs="仿宋"/>
          <w:kern w:val="1"/>
          <w:sz w:val="28"/>
          <w:szCs w:val="28"/>
          <w:highlight w:val="none"/>
          <w:u w:val="single"/>
        </w:rPr>
        <w:t xml:space="preserve">                        </w:t>
      </w:r>
      <w:r>
        <w:rPr>
          <w:rFonts w:hint="eastAsia" w:ascii="仿宋" w:hAnsi="仿宋" w:eastAsia="仿宋" w:cs="仿宋"/>
          <w:kern w:val="1"/>
          <w:sz w:val="28"/>
          <w:szCs w:val="28"/>
          <w:highlight w:val="none"/>
        </w:rPr>
        <w:t>。</w:t>
      </w:r>
    </w:p>
    <w:p w14:paraId="15A160D6">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1.1.3.3 临时占地包括：</w:t>
      </w:r>
      <w:r>
        <w:rPr>
          <w:rFonts w:hint="eastAsia" w:ascii="仿宋" w:hAnsi="仿宋" w:eastAsia="仿宋" w:cs="仿宋"/>
          <w:kern w:val="1"/>
          <w:sz w:val="28"/>
          <w:szCs w:val="28"/>
          <w:highlight w:val="none"/>
          <w:u w:val="single"/>
        </w:rPr>
        <w:t xml:space="preserve">                        </w:t>
      </w:r>
      <w:r>
        <w:rPr>
          <w:rFonts w:hint="eastAsia" w:ascii="仿宋" w:hAnsi="仿宋" w:eastAsia="仿宋" w:cs="仿宋"/>
          <w:kern w:val="1"/>
          <w:sz w:val="28"/>
          <w:szCs w:val="28"/>
          <w:highlight w:val="none"/>
        </w:rPr>
        <w:t>。</w:t>
      </w:r>
    </w:p>
    <w:p w14:paraId="7B400312">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1.3法律 </w:t>
      </w:r>
    </w:p>
    <w:p w14:paraId="10471872">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适用于合同的其他规范性文件：</w:t>
      </w:r>
      <w:r>
        <w:rPr>
          <w:rFonts w:hint="eastAsia" w:ascii="仿宋" w:hAnsi="仿宋" w:eastAsia="仿宋" w:cs="仿宋"/>
          <w:kern w:val="1"/>
          <w:sz w:val="28"/>
          <w:szCs w:val="28"/>
          <w:highlight w:val="none"/>
          <w:u w:val="single"/>
        </w:rPr>
        <w:t xml:space="preserve">《中华人民共和国建筑法》、《中华人民共和国民法典》《建设工程质量管理条例》（国务院第279号令）、《安徽省工程建设管理条例》、《安徽省建筑市场管理条例》、《建设工程清单计价规范（GB50500－2013）》以及国家、地方、省、市现行相关法律、法规、条例及规定。 </w:t>
      </w:r>
    </w:p>
    <w:p w14:paraId="7C9D7BE7">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1.4 标准和规范</w:t>
      </w:r>
    </w:p>
    <w:p w14:paraId="31B2B038">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1.4.1适用于工程的标准规范包括：</w:t>
      </w:r>
      <w:r>
        <w:rPr>
          <w:rFonts w:hint="eastAsia" w:ascii="仿宋" w:hAnsi="仿宋" w:eastAsia="仿宋" w:cs="仿宋"/>
          <w:kern w:val="1"/>
          <w:sz w:val="28"/>
          <w:szCs w:val="28"/>
          <w:highlight w:val="none"/>
          <w:u w:val="single"/>
        </w:rPr>
        <w:t xml:space="preserve">现行国家、行业及安徽省、淮南市适用于本工程的施工规范、验收规范和技术标准、质量评定标准。若不同标准和规范之间要求不一致的，以较高、较严的标准为优先。相关标准和规范的获得由施工单位自己解决，产生的费用由施工单位承担。  </w:t>
      </w:r>
    </w:p>
    <w:p w14:paraId="2AF815F3">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1.4.2 发包人提供国外标准、规范的名称：</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不提供</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62A41616">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发包人提供国外标准、规范的份数：</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67C1CA6F">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发包人提供国外标准、规范的名称：</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7A51C10D">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1.4.3发包人对工程的技术标准和功能要求的特殊要求：</w:t>
      </w:r>
      <w:r>
        <w:rPr>
          <w:rFonts w:hint="eastAsia" w:ascii="仿宋" w:hAnsi="仿宋" w:eastAsia="仿宋" w:cs="仿宋"/>
          <w:kern w:val="1"/>
          <w:sz w:val="28"/>
          <w:szCs w:val="28"/>
          <w:highlight w:val="none"/>
          <w:u w:val="single"/>
        </w:rPr>
        <w:t xml:space="preserve">  无 </w:t>
      </w:r>
      <w:r>
        <w:rPr>
          <w:rFonts w:hint="eastAsia" w:ascii="仿宋" w:hAnsi="仿宋" w:eastAsia="仿宋" w:cs="仿宋"/>
          <w:kern w:val="1"/>
          <w:sz w:val="28"/>
          <w:szCs w:val="28"/>
          <w:highlight w:val="none"/>
        </w:rPr>
        <w:t>。</w:t>
      </w:r>
    </w:p>
    <w:p w14:paraId="56E98805">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1.5 合同文件的优先顺序</w:t>
      </w:r>
    </w:p>
    <w:p w14:paraId="29BAADB2">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1"/>
          <w:sz w:val="28"/>
          <w:szCs w:val="28"/>
          <w:highlight w:val="none"/>
        </w:rPr>
        <w:t>合同文件组成及优先顺序为：</w:t>
      </w:r>
      <w:r>
        <w:rPr>
          <w:rFonts w:hint="eastAsia" w:ascii="仿宋" w:hAnsi="仿宋" w:eastAsia="仿宋" w:cs="仿宋"/>
          <w:kern w:val="1"/>
          <w:sz w:val="28"/>
          <w:szCs w:val="28"/>
          <w:highlight w:val="none"/>
          <w:u w:val="single"/>
        </w:rPr>
        <w:t>(1)补充协议（2）合同协议书；(3)中标通知书；(4) 投标函及其附录；(5)合同专用条款及其附件；(6)合同通用条款；(7)技术标准、规范及有关技术资料、要求；(8)图纸；（9）采购文件、工程量清单、答疑、响应文件等；(10)已标价工程量清单；（11）合同履行过程中经发包人书面确认的会议纪要、往来函件、会议记录、工程联系单、签证、设计变更等文件，并根据其性质确定优先解释顺序。</w:t>
      </w:r>
      <w:r>
        <w:rPr>
          <w:rFonts w:hint="eastAsia" w:ascii="仿宋" w:hAnsi="仿宋" w:eastAsia="仿宋" w:cs="仿宋"/>
          <w:sz w:val="28"/>
          <w:szCs w:val="28"/>
          <w:highlight w:val="none"/>
        </w:rPr>
        <w:t xml:space="preserve"> </w:t>
      </w:r>
    </w:p>
    <w:p w14:paraId="33BA57AD">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1.6 图纸和承包人文件</w:t>
      </w:r>
      <w:r>
        <w:rPr>
          <w:rFonts w:hint="eastAsia" w:ascii="仿宋" w:hAnsi="仿宋" w:eastAsia="仿宋" w:cs="仿宋"/>
          <w:sz w:val="28"/>
          <w:szCs w:val="28"/>
          <w:highlight w:val="none"/>
        </w:rPr>
        <w:tab/>
      </w:r>
    </w:p>
    <w:p w14:paraId="4916985F">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1.6.1 图纸的提供</w:t>
      </w:r>
    </w:p>
    <w:p w14:paraId="508847B0">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发包人向承包人提供图纸的期限：</w:t>
      </w:r>
      <w:r>
        <w:rPr>
          <w:rFonts w:hint="eastAsia" w:ascii="仿宋" w:hAnsi="仿宋" w:eastAsia="仿宋" w:cs="仿宋"/>
          <w:kern w:val="1"/>
          <w:sz w:val="28"/>
          <w:szCs w:val="28"/>
          <w:highlight w:val="none"/>
          <w:u w:val="single"/>
        </w:rPr>
        <w:t xml:space="preserve">工程开工前 </w:t>
      </w:r>
      <w:r>
        <w:rPr>
          <w:rFonts w:hint="eastAsia" w:ascii="仿宋" w:hAnsi="仿宋" w:eastAsia="仿宋" w:cs="仿宋"/>
          <w:b/>
          <w:bCs/>
          <w:kern w:val="1"/>
          <w:sz w:val="28"/>
          <w:szCs w:val="28"/>
          <w:highlight w:val="none"/>
          <w:u w:val="single"/>
        </w:rPr>
        <w:t xml:space="preserve"> 7</w:t>
      </w:r>
      <w:r>
        <w:rPr>
          <w:rFonts w:hint="eastAsia" w:ascii="仿宋" w:hAnsi="仿宋" w:eastAsia="仿宋" w:cs="仿宋"/>
          <w:kern w:val="1"/>
          <w:sz w:val="28"/>
          <w:szCs w:val="28"/>
          <w:highlight w:val="none"/>
          <w:u w:val="single"/>
        </w:rPr>
        <w:t>天</w:t>
      </w:r>
      <w:r>
        <w:rPr>
          <w:rFonts w:hint="eastAsia" w:ascii="仿宋" w:hAnsi="仿宋" w:eastAsia="仿宋" w:cs="仿宋"/>
          <w:kern w:val="1"/>
          <w:sz w:val="28"/>
          <w:szCs w:val="28"/>
          <w:highlight w:val="none"/>
        </w:rPr>
        <w:t>；</w:t>
      </w:r>
    </w:p>
    <w:p w14:paraId="0825310E">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发包人向承包人提供图纸的数量：</w:t>
      </w:r>
      <w:r>
        <w:rPr>
          <w:rFonts w:hint="eastAsia" w:ascii="仿宋" w:hAnsi="仿宋" w:eastAsia="仿宋" w:cs="仿宋"/>
          <w:kern w:val="1"/>
          <w:sz w:val="28"/>
          <w:szCs w:val="28"/>
          <w:highlight w:val="none"/>
          <w:u w:val="single"/>
        </w:rPr>
        <w:t>1套 ，</w:t>
      </w:r>
      <w:r>
        <w:rPr>
          <w:rFonts w:hint="eastAsia" w:ascii="仿宋" w:hAnsi="仿宋" w:eastAsia="仿宋" w:cs="仿宋"/>
          <w:b/>
          <w:color w:val="000000"/>
          <w:sz w:val="28"/>
          <w:szCs w:val="28"/>
          <w:highlight w:val="none"/>
          <w:u w:val="single"/>
        </w:rPr>
        <w:t>不足的由承包人自行复制，费用自理</w:t>
      </w:r>
      <w:r>
        <w:rPr>
          <w:rFonts w:hint="eastAsia" w:ascii="仿宋" w:hAnsi="仿宋" w:eastAsia="仿宋" w:cs="仿宋"/>
          <w:kern w:val="1"/>
          <w:sz w:val="28"/>
          <w:szCs w:val="28"/>
          <w:highlight w:val="none"/>
          <w:u w:val="single"/>
        </w:rPr>
        <w:t>；</w:t>
      </w:r>
      <w:r>
        <w:rPr>
          <w:rFonts w:hint="eastAsia" w:ascii="仿宋" w:hAnsi="仿宋" w:eastAsia="仿宋" w:cs="仿宋"/>
          <w:b/>
          <w:bCs/>
          <w:kern w:val="1"/>
          <w:sz w:val="28"/>
          <w:szCs w:val="28"/>
          <w:highlight w:val="none"/>
          <w:u w:val="single"/>
        </w:rPr>
        <w:t>工</w:t>
      </w:r>
      <w:r>
        <w:rPr>
          <w:rFonts w:hint="eastAsia" w:ascii="仿宋" w:hAnsi="仿宋" w:eastAsia="仿宋" w:cs="仿宋"/>
          <w:b/>
          <w:color w:val="000000"/>
          <w:sz w:val="28"/>
          <w:szCs w:val="28"/>
          <w:highlight w:val="none"/>
          <w:u w:val="single" w:color="000000"/>
        </w:rPr>
        <w:t>程竣工验收合格后全</w:t>
      </w:r>
      <w:r>
        <w:rPr>
          <w:rFonts w:hint="eastAsia" w:ascii="仿宋" w:hAnsi="仿宋" w:eastAsia="仿宋" w:cs="仿宋"/>
          <w:b/>
          <w:color w:val="auto"/>
          <w:sz w:val="28"/>
          <w:szCs w:val="28"/>
          <w:highlight w:val="none"/>
          <w:u w:val="single" w:color="000000"/>
        </w:rPr>
        <w:t>部图纸原件归还发包</w:t>
      </w:r>
      <w:r>
        <w:rPr>
          <w:rFonts w:hint="eastAsia" w:ascii="仿宋" w:hAnsi="仿宋" w:eastAsia="仿宋" w:cs="仿宋"/>
          <w:b/>
          <w:color w:val="000000"/>
          <w:sz w:val="28"/>
          <w:szCs w:val="28"/>
          <w:highlight w:val="none"/>
          <w:u w:val="single" w:color="000000"/>
        </w:rPr>
        <w:t>人。</w:t>
      </w:r>
      <w:r>
        <w:rPr>
          <w:rFonts w:hint="eastAsia" w:ascii="仿宋" w:hAnsi="仿宋" w:eastAsia="仿宋" w:cs="仿宋"/>
          <w:kern w:val="1"/>
          <w:sz w:val="28"/>
          <w:szCs w:val="28"/>
          <w:highlight w:val="none"/>
        </w:rPr>
        <w:t>；</w:t>
      </w:r>
    </w:p>
    <w:p w14:paraId="537ECD08">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发包人向承包人提供图纸的内容：</w:t>
      </w:r>
      <w:r>
        <w:rPr>
          <w:rFonts w:hint="eastAsia" w:ascii="仿宋" w:hAnsi="仿宋" w:eastAsia="仿宋" w:cs="仿宋"/>
          <w:kern w:val="1"/>
          <w:sz w:val="28"/>
          <w:szCs w:val="28"/>
          <w:highlight w:val="none"/>
          <w:u w:val="single"/>
        </w:rPr>
        <w:t></w:t>
      </w:r>
      <w:r>
        <w:rPr>
          <w:rFonts w:hint="eastAsia" w:ascii="仿宋" w:hAnsi="仿宋" w:eastAsia="仿宋" w:cs="仿宋"/>
          <w:b/>
          <w:color w:val="000000"/>
          <w:sz w:val="28"/>
          <w:szCs w:val="28"/>
          <w:highlight w:val="none"/>
          <w:u w:val="single" w:color="000000"/>
        </w:rPr>
        <w:t>全部施工图纸、技术参数等，包括有设计单位出图章的纸质版和 CAD 电子版</w:t>
      </w:r>
      <w:r>
        <w:rPr>
          <w:rFonts w:hint="eastAsia" w:ascii="仿宋" w:hAnsi="仿宋" w:eastAsia="仿宋" w:cs="仿宋"/>
          <w:kern w:val="1"/>
          <w:sz w:val="28"/>
          <w:szCs w:val="28"/>
          <w:highlight w:val="none"/>
          <w:u w:val="single"/>
        </w:rPr>
        <w:t></w:t>
      </w:r>
      <w:r>
        <w:rPr>
          <w:rFonts w:hint="eastAsia" w:ascii="仿宋" w:hAnsi="仿宋" w:eastAsia="仿宋" w:cs="仿宋"/>
          <w:kern w:val="1"/>
          <w:sz w:val="28"/>
          <w:szCs w:val="28"/>
          <w:highlight w:val="none"/>
        </w:rPr>
        <w:t>。</w:t>
      </w:r>
    </w:p>
    <w:p w14:paraId="0405A454">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1.6.2 承包人文件</w:t>
      </w:r>
    </w:p>
    <w:p w14:paraId="59C0BF39">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需要由承包人提供的文件，包括：</w:t>
      </w:r>
      <w:r>
        <w:rPr>
          <w:rFonts w:hint="eastAsia" w:ascii="仿宋" w:hAnsi="仿宋" w:eastAsia="仿宋" w:cs="仿宋"/>
          <w:b/>
          <w:color w:val="000000"/>
          <w:sz w:val="28"/>
          <w:szCs w:val="28"/>
          <w:highlight w:val="none"/>
          <w:u w:val="single" w:color="000000"/>
        </w:rPr>
        <w:t>施工组织设计、专项施工方案、施工安全技术措施、必要的施工图深化设计、必要的加工图和大样图、施工进度计划、劳动力和材料、机械投入计划、竣工资料、竣工图。其他国家和省市建设行政主管部门规定应由发包人、监理单位提供的文件由各方单位负责起草整理</w:t>
      </w:r>
      <w:r>
        <w:rPr>
          <w:rFonts w:hint="eastAsia" w:ascii="仿宋" w:hAnsi="仿宋" w:eastAsia="仿宋" w:cs="仿宋"/>
          <w:kern w:val="1"/>
          <w:sz w:val="28"/>
          <w:szCs w:val="28"/>
          <w:highlight w:val="none"/>
        </w:rPr>
        <w:t>；</w:t>
      </w:r>
    </w:p>
    <w:p w14:paraId="62EDF049">
      <w:pPr>
        <w:autoSpaceDE w:val="0"/>
        <w:autoSpaceDN w:val="0"/>
        <w:spacing w:line="360" w:lineRule="auto"/>
        <w:ind w:firstLine="560" w:firstLineChars="200"/>
        <w:rPr>
          <w:rFonts w:hint="eastAsia" w:ascii="仿宋" w:hAnsi="仿宋" w:eastAsia="仿宋" w:cs="仿宋"/>
          <w:b/>
          <w:sz w:val="28"/>
          <w:szCs w:val="28"/>
          <w:highlight w:val="none"/>
          <w:u w:val="single"/>
        </w:rPr>
      </w:pPr>
      <w:r>
        <w:rPr>
          <w:rFonts w:hint="eastAsia" w:ascii="仿宋" w:hAnsi="仿宋" w:eastAsia="仿宋" w:cs="仿宋"/>
          <w:kern w:val="1"/>
          <w:sz w:val="28"/>
          <w:szCs w:val="28"/>
          <w:highlight w:val="none"/>
        </w:rPr>
        <w:t>承包人提供的文件的期限为：</w:t>
      </w:r>
      <w:r>
        <w:rPr>
          <w:rFonts w:hint="eastAsia" w:ascii="仿宋" w:hAnsi="仿宋" w:eastAsia="仿宋" w:cs="仿宋"/>
          <w:b/>
          <w:sz w:val="28"/>
          <w:szCs w:val="28"/>
          <w:highlight w:val="none"/>
        </w:rPr>
        <w:t>施</w:t>
      </w:r>
      <w:r>
        <w:rPr>
          <w:rFonts w:hint="eastAsia" w:ascii="仿宋" w:hAnsi="仿宋" w:eastAsia="仿宋" w:cs="仿宋"/>
          <w:b/>
          <w:sz w:val="28"/>
          <w:szCs w:val="28"/>
          <w:highlight w:val="none"/>
          <w:u w:val="single"/>
        </w:rPr>
        <w:t>工组织设计或施工安全技术措施等资料必须在开工前 7 天提供给监理人，监理人在 3 天内审核完毕报发包人，监理人对承包人文件有异议的，承包人应予以修改后重新报送；承包人未按照本条约定提供施工组织设计或施工安全技术措施等资料的，每逾期一天向发包人承担违约金人民币</w:t>
      </w:r>
      <w:r>
        <w:rPr>
          <w:rFonts w:hint="eastAsia" w:ascii="仿宋" w:hAnsi="仿宋" w:eastAsia="仿宋" w:cs="仿宋"/>
          <w:b/>
          <w:sz w:val="28"/>
          <w:szCs w:val="28"/>
          <w:highlight w:val="none"/>
          <w:u w:val="single"/>
          <w:lang w:eastAsia="zh-CN"/>
        </w:rPr>
        <w:t>：</w:t>
      </w:r>
      <w:r>
        <w:rPr>
          <w:rFonts w:hint="eastAsia" w:ascii="仿宋" w:hAnsi="仿宋" w:eastAsia="仿宋" w:cs="仿宋"/>
          <w:b/>
          <w:sz w:val="28"/>
          <w:szCs w:val="28"/>
          <w:highlight w:val="none"/>
          <w:u w:val="single"/>
          <w:lang w:val="en-US" w:eastAsia="zh-CN"/>
        </w:rPr>
        <w:t>1000元</w:t>
      </w:r>
      <w:r>
        <w:rPr>
          <w:rFonts w:hint="eastAsia" w:ascii="仿宋" w:hAnsi="仿宋" w:eastAsia="仿宋" w:cs="仿宋"/>
          <w:b/>
          <w:sz w:val="28"/>
          <w:szCs w:val="28"/>
          <w:highlight w:val="none"/>
          <w:u w:val="single"/>
        </w:rPr>
        <w:t>。</w:t>
      </w:r>
    </w:p>
    <w:p w14:paraId="0F59D6E1">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承包人提供的文件的数量为：</w:t>
      </w:r>
      <w:r>
        <w:rPr>
          <w:rFonts w:hint="eastAsia" w:ascii="仿宋" w:hAnsi="仿宋" w:eastAsia="仿宋" w:cs="仿宋"/>
          <w:b/>
          <w:sz w:val="28"/>
          <w:szCs w:val="28"/>
          <w:highlight w:val="none"/>
          <w:u w:val="single" w:color="000000"/>
        </w:rPr>
        <w:t>书面文件（六套）及电子版（两套）</w:t>
      </w:r>
      <w:r>
        <w:rPr>
          <w:rFonts w:hint="eastAsia" w:ascii="仿宋" w:hAnsi="仿宋" w:eastAsia="仿宋" w:cs="仿宋"/>
          <w:kern w:val="1"/>
          <w:sz w:val="28"/>
          <w:szCs w:val="28"/>
          <w:highlight w:val="none"/>
        </w:rPr>
        <w:t>；</w:t>
      </w:r>
    </w:p>
    <w:p w14:paraId="0798750C">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承包人提供的文件的形式为：</w:t>
      </w:r>
      <w:r>
        <w:rPr>
          <w:rFonts w:hint="eastAsia" w:ascii="仿宋" w:hAnsi="仿宋" w:eastAsia="仿宋" w:cs="仿宋"/>
          <w:b/>
          <w:sz w:val="28"/>
          <w:szCs w:val="28"/>
          <w:highlight w:val="none"/>
          <w:u w:val="single" w:color="000000"/>
        </w:rPr>
        <w:t>书面形式，包括由承包人盖章、签字的纸质和相应电子版</w:t>
      </w:r>
      <w:r>
        <w:rPr>
          <w:rFonts w:hint="eastAsia" w:ascii="仿宋" w:hAnsi="仿宋" w:eastAsia="仿宋" w:cs="仿宋"/>
          <w:sz w:val="28"/>
          <w:szCs w:val="28"/>
          <w:highlight w:val="none"/>
        </w:rPr>
        <w:t>；</w:t>
      </w:r>
      <w:r>
        <w:rPr>
          <w:rFonts w:hint="eastAsia" w:ascii="仿宋" w:hAnsi="仿宋" w:eastAsia="仿宋" w:cs="仿宋"/>
          <w:kern w:val="1"/>
          <w:sz w:val="28"/>
          <w:szCs w:val="28"/>
          <w:highlight w:val="none"/>
        </w:rPr>
        <w:t>；</w:t>
      </w:r>
    </w:p>
    <w:p w14:paraId="5D0DDA35">
      <w:pPr>
        <w:autoSpaceDE w:val="0"/>
        <w:autoSpaceDN w:val="0"/>
        <w:spacing w:line="360" w:lineRule="auto"/>
        <w:ind w:firstLine="560" w:firstLineChars="200"/>
        <w:rPr>
          <w:rFonts w:hint="eastAsia" w:ascii="仿宋" w:hAnsi="仿宋" w:eastAsia="仿宋" w:cs="仿宋"/>
          <w:b/>
          <w:sz w:val="28"/>
          <w:szCs w:val="28"/>
          <w:highlight w:val="none"/>
          <w:u w:val="single" w:color="000000"/>
        </w:rPr>
      </w:pPr>
      <w:r>
        <w:rPr>
          <w:rFonts w:hint="eastAsia" w:ascii="仿宋" w:hAnsi="仿宋" w:eastAsia="仿宋" w:cs="仿宋"/>
          <w:kern w:val="1"/>
          <w:sz w:val="28"/>
          <w:szCs w:val="28"/>
          <w:highlight w:val="none"/>
        </w:rPr>
        <w:t>发包人审批承包人文件的期限：</w:t>
      </w:r>
      <w:r>
        <w:rPr>
          <w:rFonts w:hint="eastAsia" w:ascii="仿宋" w:hAnsi="仿宋" w:eastAsia="仿宋" w:cs="仿宋"/>
          <w:b/>
          <w:sz w:val="28"/>
          <w:szCs w:val="28"/>
          <w:highlight w:val="none"/>
          <w:u w:val="single" w:color="000000"/>
        </w:rPr>
        <w:t>收到监理人审查合格的承包人所提交完整、合格的文件之日起7天内审批完毕，发包人对文件有异议的，通知监理人要求承包人进行修改后重新报批或直接通知承包人修改后重新报批。</w:t>
      </w:r>
    </w:p>
    <w:p w14:paraId="74E5EFF4">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1.6.3 现场图纸准备</w:t>
      </w:r>
    </w:p>
    <w:p w14:paraId="559240E5">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关于现场图纸准备的约定：</w:t>
      </w:r>
      <w:r>
        <w:rPr>
          <w:rFonts w:hint="eastAsia" w:ascii="仿宋" w:hAnsi="仿宋" w:eastAsia="仿宋" w:cs="仿宋"/>
          <w:b/>
          <w:sz w:val="28"/>
          <w:szCs w:val="28"/>
          <w:highlight w:val="none"/>
          <w:u w:val="single" w:color="000000"/>
        </w:rPr>
        <w:t>承包人应在施工现场至少另外保存一套完整的图纸和承包人需提供文件，供发包人、监理人及有关人员进行工程检查时使用</w:t>
      </w:r>
      <w:r>
        <w:rPr>
          <w:rFonts w:hint="eastAsia" w:ascii="仿宋" w:hAnsi="仿宋" w:eastAsia="仿宋" w:cs="仿宋"/>
          <w:kern w:val="1"/>
          <w:sz w:val="28"/>
          <w:szCs w:val="28"/>
          <w:highlight w:val="none"/>
          <w:u w:val="single"/>
        </w:rPr>
        <w:t></w:t>
      </w:r>
      <w:r>
        <w:rPr>
          <w:rFonts w:hint="eastAsia" w:ascii="仿宋" w:hAnsi="仿宋" w:eastAsia="仿宋" w:cs="仿宋"/>
          <w:kern w:val="1"/>
          <w:sz w:val="28"/>
          <w:szCs w:val="28"/>
          <w:highlight w:val="none"/>
        </w:rPr>
        <w:t>。</w:t>
      </w:r>
    </w:p>
    <w:p w14:paraId="5860CC10">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1.7 联络</w:t>
      </w:r>
    </w:p>
    <w:p w14:paraId="3F911147">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1.7.1发包人和承包人应当在</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天内将与合同有关的通知、批准、证明、证书、指示、指令、要求、请求、同意、意见、确定和决定等书面函件送达对方当事人。</w:t>
      </w:r>
    </w:p>
    <w:p w14:paraId="342B8FA6">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1.7.2 发包人接收文件的地点：</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36C0DA0C">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发包人指定的接收人为：</w:t>
      </w:r>
      <w:r>
        <w:rPr>
          <w:rFonts w:hint="eastAsia" w:ascii="仿宋" w:hAnsi="仿宋" w:eastAsia="仿宋" w:cs="仿宋"/>
          <w:kern w:val="1"/>
          <w:sz w:val="28"/>
          <w:szCs w:val="28"/>
          <w:highlight w:val="none"/>
          <w:u w:val="single"/>
        </w:rPr>
        <w:t>              </w:t>
      </w:r>
      <w:r>
        <w:rPr>
          <w:rFonts w:hint="eastAsia" w:ascii="仿宋" w:hAnsi="仿宋" w:eastAsia="仿宋" w:cs="仿宋"/>
          <w:kern w:val="1"/>
          <w:sz w:val="28"/>
          <w:szCs w:val="28"/>
          <w:highlight w:val="none"/>
        </w:rPr>
        <w:t>。</w:t>
      </w:r>
    </w:p>
    <w:p w14:paraId="77E6C401">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承包人接收文件的地点：</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142BE25E">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承包人指定的接收人为：</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65FF179C">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监理人接收文件的地点：</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5DDE3673">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监理人指定的接收人为：</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53B73847">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1.10 交通运输</w:t>
      </w:r>
    </w:p>
    <w:p w14:paraId="5AE8A0A3">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bookmarkStart w:id="632" w:name="_Toc318581155"/>
      <w:bookmarkEnd w:id="632"/>
      <w:bookmarkStart w:id="633" w:name="_Toc303539100"/>
      <w:bookmarkEnd w:id="633"/>
      <w:bookmarkStart w:id="634" w:name="_Toc312677986"/>
      <w:bookmarkEnd w:id="634"/>
      <w:bookmarkStart w:id="635" w:name="_Toc300934943"/>
      <w:bookmarkEnd w:id="635"/>
      <w:bookmarkStart w:id="636" w:name="_Toc304295521"/>
      <w:bookmarkEnd w:id="636"/>
      <w:r>
        <w:rPr>
          <w:rFonts w:hint="eastAsia" w:ascii="仿宋" w:hAnsi="仿宋" w:eastAsia="仿宋" w:cs="仿宋"/>
          <w:kern w:val="1"/>
          <w:sz w:val="28"/>
          <w:szCs w:val="28"/>
          <w:highlight w:val="none"/>
        </w:rPr>
        <w:t>.10.1 出入现场的权利</w:t>
      </w:r>
    </w:p>
    <w:p w14:paraId="4BA163F0">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关于出入现场的权利的约定：</w:t>
      </w:r>
      <w:r>
        <w:rPr>
          <w:rFonts w:hint="eastAsia" w:ascii="仿宋" w:hAnsi="仿宋" w:eastAsia="仿宋" w:cs="仿宋"/>
          <w:kern w:val="1"/>
          <w:sz w:val="28"/>
          <w:szCs w:val="28"/>
          <w:highlight w:val="none"/>
          <w:u w:val="single"/>
        </w:rPr>
        <w:t>1）由承包人按发包人要求负责取得出入施工现场所需的批准手续和全部权利，以及取得因施工所需修建道路以</w:t>
      </w:r>
      <w:r>
        <w:rPr>
          <w:rFonts w:hint="eastAsia" w:ascii="仿宋" w:hAnsi="仿宋" w:eastAsia="仿宋" w:cs="仿宋"/>
          <w:color w:val="auto"/>
          <w:kern w:val="1"/>
          <w:sz w:val="28"/>
          <w:szCs w:val="28"/>
          <w:highlight w:val="none"/>
          <w:u w:val="single"/>
        </w:rPr>
        <w:t>及其他基础设施的权利，并承担相关手续费用和建设费用。2）所有进入施工场地的人员和机械由承包人</w:t>
      </w:r>
      <w:r>
        <w:rPr>
          <w:rFonts w:hint="eastAsia" w:ascii="仿宋" w:hAnsi="仿宋" w:eastAsia="仿宋" w:cs="仿宋"/>
          <w:b w:val="0"/>
          <w:bCs/>
          <w:color w:val="auto"/>
          <w:kern w:val="1"/>
          <w:sz w:val="28"/>
          <w:szCs w:val="28"/>
          <w:highlight w:val="none"/>
          <w:u w:val="single"/>
        </w:rPr>
        <w:t>自费</w:t>
      </w:r>
      <w:r>
        <w:rPr>
          <w:rFonts w:hint="eastAsia" w:ascii="仿宋" w:hAnsi="仿宋" w:eastAsia="仿宋" w:cs="仿宋"/>
          <w:color w:val="auto"/>
          <w:kern w:val="1"/>
          <w:sz w:val="28"/>
          <w:szCs w:val="28"/>
          <w:highlight w:val="none"/>
          <w:u w:val="single"/>
        </w:rPr>
        <w:t>负责，施工造成的人员伤亡等直接经济损失由承包人承担；3）所有出场车辆卫生管理必须服从相关行政</w:t>
      </w:r>
      <w:r>
        <w:rPr>
          <w:rFonts w:hint="eastAsia" w:ascii="仿宋" w:hAnsi="仿宋" w:eastAsia="仿宋" w:cs="仿宋"/>
          <w:kern w:val="1"/>
          <w:sz w:val="28"/>
          <w:szCs w:val="28"/>
          <w:highlight w:val="none"/>
          <w:u w:val="single"/>
        </w:rPr>
        <w:t xml:space="preserve">执法局的有关规定，因此产生的费用由承包人自理 </w:t>
      </w:r>
      <w:r>
        <w:rPr>
          <w:rFonts w:hint="eastAsia" w:ascii="仿宋" w:hAnsi="仿宋" w:eastAsia="仿宋" w:cs="仿宋"/>
          <w:kern w:val="1"/>
          <w:sz w:val="28"/>
          <w:szCs w:val="28"/>
          <w:highlight w:val="none"/>
        </w:rPr>
        <w:t>。</w:t>
      </w:r>
    </w:p>
    <w:p w14:paraId="66CB68F2">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bookmarkStart w:id="637" w:name="_Toc318581156"/>
      <w:bookmarkEnd w:id="637"/>
      <w:bookmarkStart w:id="638" w:name="_Toc300934944"/>
      <w:bookmarkEnd w:id="638"/>
      <w:bookmarkStart w:id="639" w:name="_Toc304295522"/>
      <w:bookmarkEnd w:id="639"/>
      <w:bookmarkStart w:id="640" w:name="_Toc303539101"/>
      <w:bookmarkEnd w:id="640"/>
      <w:bookmarkStart w:id="641" w:name="_Toc312677987"/>
      <w:bookmarkEnd w:id="641"/>
      <w:r>
        <w:rPr>
          <w:rFonts w:hint="eastAsia" w:ascii="仿宋" w:hAnsi="仿宋" w:eastAsia="仿宋" w:cs="仿宋"/>
          <w:kern w:val="1"/>
          <w:sz w:val="28"/>
          <w:szCs w:val="28"/>
          <w:highlight w:val="none"/>
        </w:rPr>
        <w:t>.10.3 场内交通</w:t>
      </w:r>
    </w:p>
    <w:p w14:paraId="43DB648F">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关于场外交通和场内交通的边界的约定：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以发包人同意承包人设置的围栏或红线为准。承包人在投标前应充分踏勘现场，以现场条件为准,场内外道路均由承包人负责，费用包含在合同价款中</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594278B0">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关于发包人向承包人免费提供满足工程施工需要的场内道路和交通设施的约定：</w:t>
      </w:r>
      <w:r>
        <w:rPr>
          <w:rFonts w:hint="eastAsia" w:ascii="仿宋" w:hAnsi="仿宋" w:eastAsia="仿宋" w:cs="仿宋"/>
          <w:kern w:val="1"/>
          <w:sz w:val="28"/>
          <w:szCs w:val="28"/>
          <w:highlight w:val="none"/>
          <w:u w:val="single"/>
        </w:rPr>
        <w:t></w:t>
      </w:r>
      <w:r>
        <w:rPr>
          <w:rFonts w:hint="eastAsia" w:ascii="仿宋" w:hAnsi="仿宋" w:eastAsia="仿宋" w:cs="仿宋"/>
          <w:b/>
          <w:color w:val="000000"/>
          <w:sz w:val="28"/>
          <w:szCs w:val="28"/>
          <w:highlight w:val="none"/>
          <w:u w:val="single" w:color="000000"/>
        </w:rPr>
        <w:t>承包人在投标前应充分踏勘现场，对发包人现有的场内道路及交通设施承包人可以合理利用，待功能丧失后，承包人根据发包人要求负责免费清除。其他道路及交通设施由承包人根据需要自行解决并承担相关费用</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 xml:space="preserve">。  </w:t>
      </w:r>
      <w:bookmarkStart w:id="642" w:name="_Toc318581157"/>
      <w:bookmarkEnd w:id="642"/>
    </w:p>
    <w:p w14:paraId="1EB0D78D">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1.10.4超大件和超重件的运输</w:t>
      </w:r>
    </w:p>
    <w:p w14:paraId="17FD1EDB">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由承包人负责运输的超大件或超重件，应由承包人负责向交通管理部门办理申请手续，发包人给予协助。运输超大件或超重件所需的道路和桥梁临时加固改造费用和其他有关费用，由承包人承担。</w:t>
      </w:r>
    </w:p>
    <w:p w14:paraId="4284B643">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1.11 知识产权</w:t>
      </w:r>
    </w:p>
    <w:p w14:paraId="5409A1B8">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kern w:val="1"/>
          <w:sz w:val="28"/>
          <w:szCs w:val="28"/>
          <w:highlight w:val="none"/>
          <w:u w:val="single"/>
        </w:rPr>
        <w:t>归属发包人所有</w:t>
      </w:r>
      <w:r>
        <w:rPr>
          <w:rFonts w:hint="eastAsia" w:ascii="仿宋" w:hAnsi="仿宋" w:eastAsia="仿宋" w:cs="仿宋"/>
          <w:kern w:val="1"/>
          <w:sz w:val="28"/>
          <w:szCs w:val="28"/>
          <w:highlight w:val="none"/>
        </w:rPr>
        <w:t>。</w:t>
      </w:r>
    </w:p>
    <w:p w14:paraId="42356B8E">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关于发包人提供的上述文件的使用限制的要求：</w:t>
      </w:r>
      <w:r>
        <w:rPr>
          <w:rFonts w:hint="eastAsia" w:ascii="仿宋" w:hAnsi="仿宋" w:eastAsia="仿宋" w:cs="仿宋"/>
          <w:kern w:val="1"/>
          <w:sz w:val="28"/>
          <w:szCs w:val="28"/>
          <w:highlight w:val="none"/>
          <w:u w:val="single"/>
        </w:rPr>
        <w:t xml:space="preserve">未经发包人书面同意，承包人不得为了合同以外的目的而复制、使用上述文件或将之提供给任何第三方。  </w:t>
      </w:r>
    </w:p>
    <w:p w14:paraId="1FE94268">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1.11.2 关于承包人为实施工程所编制文件的著作权的归属：</w:t>
      </w:r>
      <w:r>
        <w:rPr>
          <w:rFonts w:hint="eastAsia" w:ascii="仿宋" w:hAnsi="仿宋" w:eastAsia="仿宋" w:cs="仿宋"/>
          <w:kern w:val="1"/>
          <w:sz w:val="28"/>
          <w:szCs w:val="28"/>
          <w:highlight w:val="none"/>
          <w:u w:val="single"/>
        </w:rPr>
        <w:t xml:space="preserve"> 除署名权以外的著作权属于发包人。  </w:t>
      </w:r>
    </w:p>
    <w:p w14:paraId="1C5C228E">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关于承包人提供的上述文件的使用限制的要求：</w:t>
      </w:r>
      <w:r>
        <w:rPr>
          <w:rFonts w:hint="eastAsia" w:ascii="仿宋" w:hAnsi="仿宋" w:eastAsia="仿宋" w:cs="仿宋"/>
          <w:kern w:val="1"/>
          <w:sz w:val="28"/>
          <w:szCs w:val="28"/>
          <w:highlight w:val="none"/>
          <w:u w:val="single"/>
        </w:rPr>
        <w:t>未经发包人书面同意，承包人不得为了合同以外的目的而复制、使用上述文件或将之提供给任何第三方。</w:t>
      </w:r>
    </w:p>
    <w:p w14:paraId="32AF94E1">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1.11.3 承包人在施工过程中所采用的专利、专有技术、技术秘密的使用费的承担方式：</w:t>
      </w:r>
      <w:r>
        <w:rPr>
          <w:rFonts w:hint="eastAsia" w:ascii="仿宋" w:hAnsi="仿宋" w:eastAsia="仿宋" w:cs="仿宋"/>
          <w:kern w:val="1"/>
          <w:sz w:val="28"/>
          <w:szCs w:val="28"/>
          <w:highlight w:val="none"/>
          <w:u w:val="single"/>
        </w:rPr>
        <w:t>已包含在本合同价款中，由承包人承担。</w:t>
      </w:r>
    </w:p>
    <w:p w14:paraId="2A92F73D">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1.13工程量清单错误的修正</w:t>
      </w:r>
    </w:p>
    <w:p w14:paraId="4192A9D4">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出现工程量清单错误时，是否调整合同价格：</w:t>
      </w:r>
      <w:r>
        <w:rPr>
          <w:rFonts w:hint="eastAsia" w:ascii="仿宋" w:hAnsi="仿宋" w:eastAsia="仿宋" w:cs="仿宋"/>
          <w:kern w:val="1"/>
          <w:sz w:val="28"/>
          <w:szCs w:val="28"/>
          <w:highlight w:val="none"/>
          <w:u w:val="single"/>
        </w:rPr>
        <w:t xml:space="preserve">      否       </w:t>
      </w:r>
      <w:r>
        <w:rPr>
          <w:rFonts w:hint="eastAsia" w:ascii="仿宋" w:hAnsi="仿宋" w:eastAsia="仿宋" w:cs="仿宋"/>
          <w:kern w:val="1"/>
          <w:sz w:val="28"/>
          <w:szCs w:val="28"/>
          <w:highlight w:val="none"/>
        </w:rPr>
        <w:t>。</w:t>
      </w:r>
    </w:p>
    <w:p w14:paraId="35DB6ACB">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允许调整合同价格的工程量偏差范围：</w:t>
      </w:r>
      <w:r>
        <w:rPr>
          <w:rFonts w:hint="eastAsia" w:ascii="仿宋" w:hAnsi="仿宋" w:eastAsia="仿宋" w:cs="仿宋"/>
          <w:kern w:val="1"/>
          <w:sz w:val="28"/>
          <w:szCs w:val="28"/>
          <w:highlight w:val="none"/>
          <w:u w:val="single"/>
        </w:rPr>
        <w:t xml:space="preserve">否      </w:t>
      </w:r>
      <w:r>
        <w:rPr>
          <w:rFonts w:hint="eastAsia" w:ascii="仿宋" w:hAnsi="仿宋" w:eastAsia="仿宋" w:cs="仿宋"/>
          <w:kern w:val="1"/>
          <w:sz w:val="28"/>
          <w:szCs w:val="28"/>
          <w:highlight w:val="none"/>
        </w:rPr>
        <w:t>。</w:t>
      </w:r>
    </w:p>
    <w:p w14:paraId="47BCCD07">
      <w:pPr>
        <w:autoSpaceDE w:val="0"/>
        <w:autoSpaceDN w:val="0"/>
        <w:spacing w:line="360" w:lineRule="auto"/>
        <w:ind w:firstLine="560" w:firstLineChars="200"/>
        <w:rPr>
          <w:rFonts w:hint="eastAsia" w:ascii="仿宋" w:hAnsi="仿宋" w:eastAsia="仿宋" w:cs="仿宋"/>
          <w:kern w:val="1"/>
          <w:sz w:val="28"/>
          <w:szCs w:val="28"/>
          <w:highlight w:val="none"/>
        </w:rPr>
      </w:pPr>
      <w:bookmarkStart w:id="643" w:name="_Toc351203634"/>
      <w:bookmarkEnd w:id="643"/>
      <w:r>
        <w:rPr>
          <w:rFonts w:hint="eastAsia" w:ascii="仿宋" w:hAnsi="仿宋" w:eastAsia="仿宋" w:cs="仿宋"/>
          <w:kern w:val="1"/>
          <w:sz w:val="28"/>
          <w:szCs w:val="28"/>
          <w:highlight w:val="none"/>
        </w:rPr>
        <w:t>2</w:t>
      </w:r>
      <w:bookmarkStart w:id="644" w:name="_Toc296347156"/>
      <w:bookmarkEnd w:id="644"/>
      <w:bookmarkStart w:id="645" w:name="_Toc296891197"/>
      <w:bookmarkEnd w:id="645"/>
      <w:bookmarkStart w:id="646" w:name="_Toc296346658"/>
      <w:bookmarkEnd w:id="646"/>
      <w:bookmarkStart w:id="647" w:name="_Toc296503157"/>
      <w:bookmarkEnd w:id="647"/>
      <w:bookmarkStart w:id="648" w:name="_Toc292559867"/>
      <w:bookmarkEnd w:id="648"/>
      <w:bookmarkStart w:id="649" w:name="_Toc296944496"/>
      <w:bookmarkEnd w:id="649"/>
      <w:bookmarkStart w:id="650" w:name="_Toc297048343"/>
      <w:bookmarkEnd w:id="650"/>
      <w:bookmarkStart w:id="651" w:name="_Toc296890985"/>
      <w:bookmarkEnd w:id="651"/>
      <w:bookmarkStart w:id="652" w:name="_Toc297120457"/>
      <w:bookmarkEnd w:id="652"/>
      <w:bookmarkStart w:id="653" w:name="_Toc292559362"/>
      <w:bookmarkEnd w:id="653"/>
      <w:r>
        <w:rPr>
          <w:rFonts w:hint="eastAsia" w:ascii="仿宋" w:hAnsi="仿宋" w:eastAsia="仿宋" w:cs="仿宋"/>
          <w:kern w:val="1"/>
          <w:sz w:val="28"/>
          <w:szCs w:val="28"/>
          <w:highlight w:val="none"/>
        </w:rPr>
        <w:t>. 发包人</w:t>
      </w:r>
    </w:p>
    <w:p w14:paraId="388A5F59">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2.1 发包人代表</w:t>
      </w:r>
    </w:p>
    <w:p w14:paraId="23453AF7">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发包人代表：</w:t>
      </w:r>
    </w:p>
    <w:p w14:paraId="64AEF3FF">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姓    名：</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5E61E3BE">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身份证号：</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35C287F3">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职    务：</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6A36367C">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联系电话：</w:t>
      </w:r>
      <w:r>
        <w:rPr>
          <w:rFonts w:hint="eastAsia" w:ascii="仿宋" w:hAnsi="仿宋" w:eastAsia="仿宋" w:cs="仿宋"/>
          <w:kern w:val="1"/>
          <w:sz w:val="28"/>
          <w:szCs w:val="28"/>
          <w:highlight w:val="none"/>
          <w:u w:val="single"/>
        </w:rPr>
        <w:t>     </w:t>
      </w:r>
      <w:r>
        <w:rPr>
          <w:rFonts w:hint="eastAsia" w:ascii="仿宋" w:hAnsi="仿宋" w:eastAsia="仿宋" w:cs="仿宋"/>
          <w:kern w:val="1"/>
          <w:sz w:val="28"/>
          <w:szCs w:val="28"/>
          <w:highlight w:val="none"/>
        </w:rPr>
        <w:t>；</w:t>
      </w:r>
    </w:p>
    <w:p w14:paraId="1DD24574">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电子信箱：</w:t>
      </w:r>
      <w:r>
        <w:rPr>
          <w:rFonts w:hint="eastAsia" w:ascii="仿宋" w:hAnsi="仿宋" w:eastAsia="仿宋" w:cs="仿宋"/>
          <w:kern w:val="1"/>
          <w:sz w:val="28"/>
          <w:szCs w:val="28"/>
          <w:highlight w:val="none"/>
          <w:u w:val="single"/>
        </w:rPr>
        <w:t>     </w:t>
      </w:r>
      <w:r>
        <w:rPr>
          <w:rFonts w:hint="eastAsia" w:ascii="仿宋" w:hAnsi="仿宋" w:eastAsia="仿宋" w:cs="仿宋"/>
          <w:kern w:val="1"/>
          <w:sz w:val="28"/>
          <w:szCs w:val="28"/>
          <w:highlight w:val="none"/>
        </w:rPr>
        <w:t>；</w:t>
      </w:r>
    </w:p>
    <w:p w14:paraId="08BC6B0D">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通信地址：</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u w:val="single"/>
          <w:lang w:val="en-US" w:eastAsia="zh-CN"/>
        </w:rPr>
        <w:t xml:space="preserve"> </w:t>
      </w:r>
      <w:r>
        <w:rPr>
          <w:rFonts w:hint="eastAsia" w:ascii="仿宋" w:hAnsi="仿宋" w:eastAsia="仿宋" w:cs="仿宋"/>
          <w:kern w:val="1"/>
          <w:sz w:val="28"/>
          <w:szCs w:val="28"/>
          <w:highlight w:val="none"/>
          <w:u w:val="single"/>
        </w:rPr>
        <w:t></w:t>
      </w:r>
      <w:r>
        <w:rPr>
          <w:rFonts w:hint="eastAsia" w:ascii="仿宋" w:hAnsi="仿宋" w:eastAsia="仿宋" w:cs="仿宋"/>
          <w:kern w:val="1"/>
          <w:sz w:val="28"/>
          <w:szCs w:val="28"/>
          <w:highlight w:val="none"/>
        </w:rPr>
        <w:t>。</w:t>
      </w:r>
    </w:p>
    <w:p w14:paraId="28BAA98C">
      <w:pPr>
        <w:autoSpaceDE w:val="0"/>
        <w:autoSpaceDN w:val="0"/>
        <w:spacing w:line="360" w:lineRule="auto"/>
        <w:ind w:firstLine="560" w:firstLineChars="200"/>
        <w:rPr>
          <w:rFonts w:hint="eastAsia" w:ascii="仿宋" w:hAnsi="仿宋" w:eastAsia="仿宋" w:cs="仿宋"/>
          <w:b/>
          <w:kern w:val="1"/>
          <w:sz w:val="28"/>
          <w:szCs w:val="28"/>
          <w:highlight w:val="none"/>
        </w:rPr>
      </w:pPr>
      <w:r>
        <w:rPr>
          <w:rFonts w:hint="eastAsia" w:ascii="仿宋" w:hAnsi="仿宋" w:eastAsia="仿宋" w:cs="仿宋"/>
          <w:kern w:val="1"/>
          <w:sz w:val="28"/>
          <w:szCs w:val="28"/>
          <w:highlight w:val="none"/>
        </w:rPr>
        <w:t>发包人对发包人代表的授权范围如下：</w:t>
      </w:r>
      <w:r>
        <w:rPr>
          <w:rFonts w:hint="eastAsia" w:ascii="仿宋" w:hAnsi="仿宋" w:eastAsia="仿宋" w:cs="仿宋"/>
          <w:b/>
          <w:color w:val="000000"/>
          <w:sz w:val="28"/>
          <w:szCs w:val="28"/>
          <w:highlight w:val="none"/>
          <w:u w:val="single"/>
        </w:rPr>
        <w:t>1、签收承包人向发包人送交的函件；检查、督促承包人履行工程质量、进度、安全文明施工等合同约定和法律规定的义务并提出意见和建议、指令；组织和（或）参加</w:t>
      </w:r>
      <w:r>
        <w:rPr>
          <w:rFonts w:hint="eastAsia" w:ascii="仿宋" w:hAnsi="仿宋" w:eastAsia="仿宋" w:cs="仿宋"/>
          <w:b/>
          <w:sz w:val="28"/>
          <w:szCs w:val="28"/>
          <w:highlight w:val="none"/>
          <w:u w:val="single"/>
        </w:rPr>
        <w:t>工程验收并签署意见；组织召开工程管理会议。2、施工组织设计审核、签发设计变更及工程联系单、签署停工决定、工程进度款支付证书、现场签证、工程竣工验收证书，但是涉及到需要增加造价的现场签证，必须加盖发包人行政公章并经发包人项目负责人签名，方可作为结算增加造价的依据。3、经发包人代表签署确认的或与工程价款、工期相关的发包人文件或监理文件，须加盖发包人印章后方对发包人产生约束力，否则承包人无权以发包人代表签章为由向发包人提出任何主张。4、发包人代表可根据工作需要另行指定发包人其他人员代为履行相关职责并告知承包人。</w:t>
      </w:r>
      <w:r>
        <w:rPr>
          <w:rFonts w:hint="eastAsia" w:ascii="仿宋" w:hAnsi="仿宋" w:eastAsia="仿宋" w:cs="仿宋"/>
          <w:kern w:val="1"/>
          <w:sz w:val="28"/>
          <w:szCs w:val="28"/>
          <w:highlight w:val="none"/>
          <w:u w:val="single"/>
        </w:rPr>
        <w:t xml:space="preserve">   </w:t>
      </w:r>
    </w:p>
    <w:p w14:paraId="15AC58BC">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2.2 施工现场、施工条件和基础资料的提供</w:t>
      </w:r>
    </w:p>
    <w:p w14:paraId="6A763DCD">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2.2.1 提供施工现场</w:t>
      </w:r>
    </w:p>
    <w:p w14:paraId="3E633822">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关于发包人移交施工现场的期限要求：</w:t>
      </w:r>
      <w:r>
        <w:rPr>
          <w:rFonts w:hint="eastAsia" w:ascii="仿宋" w:hAnsi="仿宋" w:eastAsia="仿宋" w:cs="仿宋"/>
          <w:kern w:val="1"/>
          <w:sz w:val="28"/>
          <w:szCs w:val="28"/>
          <w:highlight w:val="none"/>
          <w:u w:val="single"/>
        </w:rPr>
        <w:t>已经具备施工条件。</w:t>
      </w:r>
    </w:p>
    <w:p w14:paraId="629636CB">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2.2.2 提供施工条件</w:t>
      </w:r>
    </w:p>
    <w:p w14:paraId="35CD8876">
      <w:pPr>
        <w:autoSpaceDE w:val="0"/>
        <w:autoSpaceDN w:val="0"/>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关于发包人应负责提供施工所需要的条件，包括：</w:t>
      </w:r>
      <w:r>
        <w:rPr>
          <w:rFonts w:hint="eastAsia" w:ascii="仿宋" w:hAnsi="仿宋" w:eastAsia="仿宋" w:cs="仿宋"/>
          <w:b/>
          <w:sz w:val="28"/>
          <w:szCs w:val="28"/>
          <w:highlight w:val="none"/>
          <w:u w:val="single"/>
        </w:rPr>
        <w:t>（1）施工用水、电力、通讯线路等由施工单位自行负责解决费用由承包人承担，费用包含在合同各项综合单价内。水电费按照本工程总造价的千分之七计取由承包人承担，发包人从工程款内扣除水电费；承包人应充分考虑停电因素，因停电而造成自发电费用、因停电造成的赶工等措施费用已包含在各项综合单价中，同时工期不得顺延。（2）临时道路及出入通道的修建及养护由承包人负责，工程完工前承包人应对因施工造成的原有道路、排水等设施的损坏进行修缮，恢复原有使用功能，施工中应保证现状道路的正常通行，在上述施工过程中出现任何外部协调问题（办理道路及人行道恢复、园林、绿化等）由承包人自行、自费负责。（3）发包人负责办理施工所需证件，承包人负责协助办理。</w:t>
      </w:r>
    </w:p>
    <w:p w14:paraId="29A18FC6">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2.3 资金来源证明及支付担保</w:t>
      </w:r>
    </w:p>
    <w:p w14:paraId="350364E9">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发包人提供资金来源证明的期限要求：</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5CB1397E">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发包人是否提供支付担保：</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045815D1">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发包人提供支付担保的形式：</w:t>
      </w:r>
      <w:r>
        <w:rPr>
          <w:rFonts w:hint="eastAsia" w:ascii="仿宋" w:hAnsi="仿宋" w:eastAsia="仿宋" w:cs="仿宋"/>
          <w:kern w:val="1"/>
          <w:sz w:val="28"/>
          <w:szCs w:val="28"/>
          <w:highlight w:val="none"/>
          <w:u w:val="single"/>
        </w:rPr>
        <w:t>                     </w:t>
      </w:r>
      <w:r>
        <w:rPr>
          <w:rFonts w:hint="eastAsia" w:ascii="仿宋" w:hAnsi="仿宋" w:eastAsia="仿宋" w:cs="仿宋"/>
          <w:kern w:val="1"/>
          <w:sz w:val="28"/>
          <w:szCs w:val="28"/>
          <w:highlight w:val="none"/>
        </w:rPr>
        <w:t>。</w:t>
      </w:r>
    </w:p>
    <w:p w14:paraId="2214B93E">
      <w:pPr>
        <w:autoSpaceDE w:val="0"/>
        <w:autoSpaceDN w:val="0"/>
        <w:spacing w:line="360" w:lineRule="auto"/>
        <w:ind w:firstLine="560" w:firstLineChars="200"/>
        <w:rPr>
          <w:rFonts w:hint="eastAsia" w:ascii="仿宋" w:hAnsi="仿宋" w:eastAsia="仿宋" w:cs="仿宋"/>
          <w:kern w:val="1"/>
          <w:sz w:val="28"/>
          <w:szCs w:val="28"/>
          <w:highlight w:val="none"/>
        </w:rPr>
      </w:pPr>
      <w:bookmarkStart w:id="654" w:name="_Toc351203635"/>
      <w:bookmarkEnd w:id="654"/>
      <w:r>
        <w:rPr>
          <w:rFonts w:hint="eastAsia" w:ascii="仿宋" w:hAnsi="仿宋" w:eastAsia="仿宋" w:cs="仿宋"/>
          <w:kern w:val="1"/>
          <w:sz w:val="28"/>
          <w:szCs w:val="28"/>
          <w:highlight w:val="none"/>
        </w:rPr>
        <w:t>3</w:t>
      </w:r>
      <w:bookmarkStart w:id="655" w:name="_Toc296890986"/>
      <w:bookmarkEnd w:id="655"/>
      <w:bookmarkStart w:id="656" w:name="_Toc296944497"/>
      <w:bookmarkEnd w:id="656"/>
      <w:bookmarkStart w:id="657" w:name="_Toc297048344"/>
      <w:bookmarkEnd w:id="657"/>
      <w:bookmarkStart w:id="658" w:name="_Toc296503158"/>
      <w:bookmarkEnd w:id="658"/>
      <w:bookmarkStart w:id="659" w:name="_Toc296347157"/>
      <w:bookmarkEnd w:id="659"/>
      <w:bookmarkStart w:id="660" w:name="_Toc292559363"/>
      <w:bookmarkEnd w:id="660"/>
      <w:bookmarkStart w:id="661" w:name="_Toc296346659"/>
      <w:bookmarkEnd w:id="661"/>
      <w:bookmarkStart w:id="662" w:name="_Toc297120458"/>
      <w:bookmarkEnd w:id="662"/>
      <w:bookmarkStart w:id="663" w:name="_Toc296891198"/>
      <w:bookmarkEnd w:id="663"/>
      <w:bookmarkStart w:id="664" w:name="_Toc292559868"/>
      <w:bookmarkEnd w:id="664"/>
      <w:r>
        <w:rPr>
          <w:rFonts w:hint="eastAsia" w:ascii="仿宋" w:hAnsi="仿宋" w:eastAsia="仿宋" w:cs="仿宋"/>
          <w:kern w:val="1"/>
          <w:sz w:val="28"/>
          <w:szCs w:val="28"/>
          <w:highlight w:val="none"/>
        </w:rPr>
        <w:t>. 承包人</w:t>
      </w:r>
    </w:p>
    <w:p w14:paraId="16C2877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3.1 承包人的一般义务</w:t>
      </w:r>
    </w:p>
    <w:p w14:paraId="736FF379">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（1）承包人提交的竣工资料的内容：</w:t>
      </w:r>
      <w:r>
        <w:rPr>
          <w:rFonts w:hint="eastAsia" w:ascii="仿宋" w:hAnsi="仿宋" w:eastAsia="仿宋" w:cs="仿宋"/>
          <w:kern w:val="1"/>
          <w:sz w:val="28"/>
          <w:szCs w:val="28"/>
          <w:highlight w:val="none"/>
          <w:u w:val="single"/>
        </w:rPr>
        <w:t xml:space="preserve"> </w:t>
      </w:r>
      <w:r>
        <w:rPr>
          <w:rFonts w:hint="eastAsia" w:ascii="仿宋" w:hAnsi="仿宋" w:eastAsia="仿宋" w:cs="仿宋"/>
          <w:b/>
          <w:bCs/>
          <w:kern w:val="1"/>
          <w:sz w:val="28"/>
          <w:szCs w:val="28"/>
          <w:highlight w:val="none"/>
          <w:u w:val="single"/>
        </w:rPr>
        <w:t>承包人必须严格按照国家相关现行规定及发包人要求收集、整理、归档工程各环节的技术、管理、验收、竣工图等资料。工程竣工验收前 5 日向建设行政主管部门和当地城建档案馆各提交竣工验收所需资料，并获得通过。工程竣工验收合格后，10 日内向发包人提供完整的竣工图纸和相关资料 3 套，同时由承包人按规定的内容向当地城建档案馆移交 1 套，同时提供 1 套完整、规范、合格的电子版竣工资料。</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 xml:space="preserve"> </w:t>
      </w:r>
    </w:p>
    <w:p w14:paraId="29E80CA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承包人需要提交的竣工资料套数：</w:t>
      </w:r>
      <w:r>
        <w:rPr>
          <w:rFonts w:hint="eastAsia" w:ascii="仿宋" w:hAnsi="仿宋" w:eastAsia="仿宋" w:cs="仿宋"/>
          <w:kern w:val="1"/>
          <w:sz w:val="28"/>
          <w:szCs w:val="28"/>
          <w:highlight w:val="none"/>
          <w:u w:val="single"/>
        </w:rPr>
        <w:t xml:space="preserve"> </w:t>
      </w:r>
      <w:r>
        <w:rPr>
          <w:rFonts w:hint="eastAsia" w:ascii="仿宋" w:hAnsi="仿宋" w:eastAsia="仿宋" w:cs="仿宋"/>
          <w:b/>
          <w:sz w:val="28"/>
          <w:szCs w:val="28"/>
          <w:highlight w:val="none"/>
          <w:u w:val="single"/>
        </w:rPr>
        <w:t>提交 3 套完整、规范、合格的书面工程竣工资料及 1 套完整、规范、合格的电子版竣工资料。</w:t>
      </w:r>
    </w:p>
    <w:p w14:paraId="1B51B14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承包人提交的竣工资料的费用承担：</w:t>
      </w:r>
      <w:r>
        <w:rPr>
          <w:rFonts w:hint="eastAsia" w:ascii="仿宋" w:hAnsi="仿宋" w:eastAsia="仿宋" w:cs="仿宋"/>
          <w:kern w:val="1"/>
          <w:sz w:val="28"/>
          <w:szCs w:val="28"/>
          <w:highlight w:val="none"/>
          <w:u w:val="single"/>
        </w:rPr>
        <w:t xml:space="preserve">  由承包人承担     </w:t>
      </w:r>
      <w:r>
        <w:rPr>
          <w:rFonts w:hint="eastAsia" w:ascii="仿宋" w:hAnsi="仿宋" w:eastAsia="仿宋" w:cs="仿宋"/>
          <w:kern w:val="1"/>
          <w:sz w:val="28"/>
          <w:szCs w:val="28"/>
          <w:highlight w:val="none"/>
        </w:rPr>
        <w:t>。</w:t>
      </w:r>
    </w:p>
    <w:p w14:paraId="67492BE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承包人提交的竣工资料移交时间：</w:t>
      </w:r>
      <w:r>
        <w:rPr>
          <w:rFonts w:hint="eastAsia" w:ascii="仿宋" w:hAnsi="仿宋" w:eastAsia="仿宋" w:cs="仿宋"/>
          <w:kern w:val="1"/>
          <w:sz w:val="28"/>
          <w:szCs w:val="28"/>
          <w:highlight w:val="none"/>
          <w:u w:val="single"/>
        </w:rPr>
        <w:t xml:space="preserve">  </w:t>
      </w:r>
      <w:r>
        <w:rPr>
          <w:rFonts w:hint="eastAsia" w:ascii="仿宋" w:hAnsi="仿宋" w:eastAsia="仿宋" w:cs="仿宋"/>
          <w:b/>
          <w:bCs/>
          <w:kern w:val="1"/>
          <w:sz w:val="28"/>
          <w:szCs w:val="28"/>
          <w:highlight w:val="none"/>
          <w:u w:val="single"/>
        </w:rPr>
        <w:t>工</w:t>
      </w:r>
      <w:r>
        <w:rPr>
          <w:rFonts w:hint="eastAsia" w:ascii="仿宋" w:hAnsi="仿宋" w:eastAsia="仿宋" w:cs="仿宋"/>
          <w:b/>
          <w:bCs/>
          <w:sz w:val="28"/>
          <w:szCs w:val="28"/>
          <w:highlight w:val="none"/>
          <w:u w:val="single"/>
        </w:rPr>
        <w:t>程竣工验收后</w:t>
      </w:r>
      <w:r>
        <w:rPr>
          <w:rFonts w:hint="eastAsia" w:ascii="仿宋" w:hAnsi="仿宋" w:eastAsia="仿宋" w:cs="仿宋"/>
          <w:b/>
          <w:sz w:val="28"/>
          <w:szCs w:val="28"/>
          <w:highlight w:val="none"/>
          <w:u w:val="single"/>
        </w:rPr>
        <w:t>10 日内</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2360DC9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承包人提交的竣工资料形式要求：</w:t>
      </w:r>
      <w:r>
        <w:rPr>
          <w:rFonts w:hint="eastAsia" w:ascii="仿宋" w:hAnsi="仿宋" w:eastAsia="仿宋" w:cs="仿宋"/>
          <w:kern w:val="1"/>
          <w:sz w:val="28"/>
          <w:szCs w:val="28"/>
          <w:highlight w:val="none"/>
          <w:u w:val="single"/>
        </w:rPr>
        <w:t xml:space="preserve">  </w:t>
      </w:r>
      <w:r>
        <w:rPr>
          <w:rFonts w:hint="eastAsia" w:ascii="仿宋" w:hAnsi="仿宋" w:eastAsia="仿宋" w:cs="仿宋"/>
          <w:b/>
          <w:sz w:val="28"/>
          <w:szCs w:val="28"/>
          <w:highlight w:val="none"/>
          <w:u w:val="single" w:color="000000"/>
        </w:rPr>
        <w:t>书面形式（均为原件）和电子文档资料</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38E0246C">
      <w:pPr>
        <w:autoSpaceDE w:val="0"/>
        <w:autoSpaceDN w:val="0"/>
        <w:spacing w:line="360" w:lineRule="auto"/>
        <w:ind w:firstLine="562" w:firstLineChars="200"/>
        <w:rPr>
          <w:rFonts w:hint="eastAsia" w:ascii="仿宋" w:hAnsi="仿宋" w:eastAsia="仿宋" w:cs="仿宋"/>
          <w:color w:val="000000"/>
          <w:sz w:val="28"/>
          <w:szCs w:val="28"/>
          <w:highlight w:val="none"/>
          <w:u w:val="single"/>
        </w:rPr>
      </w:pPr>
      <w:r>
        <w:rPr>
          <w:rFonts w:hint="eastAsia" w:ascii="仿宋" w:hAnsi="仿宋" w:eastAsia="仿宋" w:cs="仿宋"/>
          <w:b/>
          <w:bCs/>
          <w:kern w:val="1"/>
          <w:sz w:val="28"/>
          <w:szCs w:val="28"/>
          <w:highlight w:val="none"/>
        </w:rPr>
        <w:t>项目档案要求</w:t>
      </w:r>
      <w:r>
        <w:rPr>
          <w:rFonts w:hint="eastAsia" w:ascii="仿宋" w:hAnsi="仿宋" w:eastAsia="仿宋" w:cs="仿宋"/>
          <w:kern w:val="1"/>
          <w:sz w:val="28"/>
          <w:szCs w:val="28"/>
          <w:highlight w:val="none"/>
        </w:rPr>
        <w:t>：①</w:t>
      </w:r>
      <w:r>
        <w:rPr>
          <w:rFonts w:hint="eastAsia" w:ascii="仿宋" w:hAnsi="仿宋" w:eastAsia="仿宋" w:cs="仿宋"/>
          <w:sz w:val="28"/>
          <w:szCs w:val="28"/>
          <w:highlight w:val="none"/>
          <w:u w:val="single"/>
        </w:rPr>
        <w:t>承包人必须严格按照国家规定及发包人要求收集、整理、归档工程各环节的技术、管理资料。工程竣工后应向采购人提交 3 套完整、规范、合格的书面工程竣工资料及 3 套完整、规范、合格的电子版竣工资料（其中双方业主各 1 套，项目所在地城建档案馆 1 套）。承包人工程竣工资料不齐全、不规范，并在规定时间内仍未整改完善按时提交的，将向发包人按合同约定承担的违约金，</w:t>
      </w:r>
      <w:r>
        <w:rPr>
          <w:rFonts w:hint="eastAsia" w:ascii="仿宋" w:hAnsi="仿宋" w:eastAsia="仿宋" w:cs="仿宋"/>
          <w:b/>
          <w:sz w:val="28"/>
          <w:szCs w:val="28"/>
          <w:highlight w:val="none"/>
          <w:u w:val="single"/>
        </w:rPr>
        <w:t>每逾期一天，向发包人承担违约金人民币</w:t>
      </w:r>
      <w:r>
        <w:rPr>
          <w:rFonts w:hint="eastAsia" w:ascii="仿宋" w:hAnsi="仿宋" w:eastAsia="仿宋" w:cs="仿宋"/>
          <w:b/>
          <w:sz w:val="28"/>
          <w:szCs w:val="28"/>
          <w:highlight w:val="none"/>
          <w:u w:val="single"/>
          <w:lang w:val="en-US" w:eastAsia="zh-CN"/>
        </w:rPr>
        <w:t xml:space="preserve"> 500</w:t>
      </w:r>
      <w:r>
        <w:rPr>
          <w:rFonts w:hint="eastAsia" w:ascii="仿宋" w:hAnsi="仿宋" w:eastAsia="仿宋" w:cs="仿宋"/>
          <w:b/>
          <w:sz w:val="28"/>
          <w:szCs w:val="28"/>
          <w:highlight w:val="none"/>
          <w:u w:val="single"/>
        </w:rPr>
        <w:t>元，</w:t>
      </w:r>
      <w:r>
        <w:rPr>
          <w:rFonts w:hint="eastAsia" w:ascii="仿宋" w:hAnsi="仿宋" w:eastAsia="仿宋" w:cs="仿宋"/>
          <w:sz w:val="28"/>
          <w:szCs w:val="28"/>
          <w:highlight w:val="none"/>
          <w:u w:val="single"/>
        </w:rPr>
        <w:t>并将</w:t>
      </w:r>
      <w:r>
        <w:rPr>
          <w:rFonts w:hint="eastAsia" w:ascii="仿宋" w:hAnsi="仿宋" w:eastAsia="仿宋" w:cs="仿宋"/>
          <w:color w:val="000000"/>
          <w:sz w:val="28"/>
          <w:szCs w:val="28"/>
          <w:highlight w:val="none"/>
          <w:u w:val="single"/>
        </w:rPr>
        <w:t>承担因此而造成的一切后果。</w:t>
      </w:r>
    </w:p>
    <w:p w14:paraId="2D6F083D">
      <w:pPr>
        <w:autoSpaceDE w:val="0"/>
        <w:autoSpaceDN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color w:val="000000"/>
          <w:sz w:val="28"/>
          <w:szCs w:val="28"/>
          <w:highlight w:val="none"/>
        </w:rPr>
        <w:t>②</w:t>
      </w:r>
      <w:r>
        <w:rPr>
          <w:rFonts w:hint="eastAsia" w:ascii="仿宋" w:hAnsi="仿宋" w:eastAsia="仿宋" w:cs="仿宋"/>
          <w:color w:val="000000"/>
          <w:sz w:val="28"/>
          <w:szCs w:val="28"/>
          <w:highlight w:val="none"/>
          <w:u w:val="single"/>
        </w:rPr>
        <w:t>整个项目各方主体的项目资料需要满足《淮南市城市建设档案管理条例》《建设工程文件归档规范》（GB/T</w:t>
      </w:r>
      <w:r>
        <w:rPr>
          <w:rFonts w:hint="eastAsia" w:ascii="仿宋" w:hAnsi="仿宋" w:eastAsia="仿宋" w:cs="仿宋"/>
          <w:sz w:val="28"/>
          <w:szCs w:val="28"/>
          <w:highlight w:val="none"/>
          <w:u w:val="single"/>
        </w:rPr>
        <w:t xml:space="preserve"> </w:t>
      </w:r>
      <w:r>
        <w:rPr>
          <w:rFonts w:hint="eastAsia" w:ascii="仿宋" w:hAnsi="仿宋" w:eastAsia="仿宋" w:cs="仿宋"/>
          <w:color w:val="000000"/>
          <w:sz w:val="28"/>
          <w:szCs w:val="28"/>
          <w:highlight w:val="none"/>
          <w:u w:val="single"/>
        </w:rPr>
        <w:t>50328-2014）、《淮南市城建档案馆建设工程档案接收规定》（城档字【2019】16</w:t>
      </w:r>
      <w:r>
        <w:rPr>
          <w:rFonts w:hint="eastAsia" w:ascii="仿宋" w:hAnsi="仿宋" w:eastAsia="仿宋" w:cs="仿宋"/>
          <w:sz w:val="28"/>
          <w:szCs w:val="28"/>
          <w:highlight w:val="none"/>
          <w:u w:val="single"/>
        </w:rPr>
        <w:t xml:space="preserve"> </w:t>
      </w:r>
      <w:r>
        <w:rPr>
          <w:rFonts w:hint="eastAsia" w:ascii="仿宋" w:hAnsi="仿宋" w:eastAsia="仿宋" w:cs="仿宋"/>
          <w:color w:val="000000"/>
          <w:sz w:val="28"/>
          <w:szCs w:val="28"/>
          <w:highlight w:val="none"/>
          <w:u w:val="single"/>
        </w:rPr>
        <w:t>号）等要求。协助发包人收集并整理项目准备阶段文件、监理文件、施工文件、竣工验收文件、竣工图及声像资料等。跟进项目其他各方主体完善项目归档资料。其费用包含在供应商的各项综合单价内，如产生专业服务费用由承包人承担并支付。</w:t>
      </w:r>
    </w:p>
    <w:p w14:paraId="6F0D2C59">
      <w:pPr>
        <w:autoSpaceDE w:val="0"/>
        <w:autoSpaceDN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color w:val="000000"/>
          <w:sz w:val="28"/>
          <w:szCs w:val="28"/>
          <w:highlight w:val="none"/>
        </w:rPr>
        <w:t>③</w:t>
      </w:r>
      <w:r>
        <w:rPr>
          <w:rFonts w:hint="eastAsia" w:ascii="仿宋" w:hAnsi="仿宋" w:eastAsia="仿宋" w:cs="仿宋"/>
          <w:color w:val="000000"/>
          <w:sz w:val="28"/>
          <w:szCs w:val="28"/>
          <w:highlight w:val="none"/>
          <w:u w:val="single"/>
        </w:rPr>
        <w:t>按照相关规定做好工程文件编整、电子档案制作（包括但不限于对工程档案进行排序、组卷、整理、编目、信息著录、扫描、修图、转换、系统上传等工作内容），并将符合规范要求的工程档案移交档案管理机构。</w:t>
      </w:r>
    </w:p>
    <w:p w14:paraId="4AD801C9">
      <w:pPr>
        <w:autoSpaceDE w:val="0"/>
        <w:autoSpaceDN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④</w:t>
      </w:r>
      <w:r>
        <w:rPr>
          <w:rFonts w:hint="eastAsia" w:ascii="仿宋" w:hAnsi="仿宋" w:eastAsia="仿宋" w:cs="仿宋"/>
          <w:sz w:val="28"/>
          <w:szCs w:val="28"/>
          <w:highlight w:val="none"/>
          <w:u w:val="single"/>
        </w:rPr>
        <w:t>全过程按照国家有关要求做好档案的安全及保密工作。</w:t>
      </w:r>
    </w:p>
    <w:p w14:paraId="6DAE5BFE">
      <w:pPr>
        <w:autoSpaceDE w:val="0"/>
        <w:autoSpaceDN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⑤</w:t>
      </w:r>
      <w:r>
        <w:rPr>
          <w:rFonts w:hint="eastAsia" w:ascii="仿宋" w:hAnsi="仿宋" w:eastAsia="仿宋" w:cs="仿宋"/>
          <w:sz w:val="28"/>
          <w:szCs w:val="28"/>
          <w:highlight w:val="none"/>
          <w:u w:val="single"/>
        </w:rPr>
        <w:t>以上相关其费用供应商综合考虑在报价中，如产生专业服务费用由中标人承担并支付。</w:t>
      </w:r>
    </w:p>
    <w:p w14:paraId="3DB91BA1">
      <w:pPr>
        <w:autoSpaceDE w:val="0"/>
        <w:autoSpaceDN w:val="0"/>
        <w:spacing w:line="360" w:lineRule="auto"/>
        <w:ind w:firstLine="560" w:firstLineChars="200"/>
        <w:jc w:val="left"/>
        <w:rPr>
          <w:rFonts w:hint="eastAsia" w:ascii="仿宋" w:hAnsi="仿宋" w:eastAsia="仿宋" w:cs="仿宋"/>
          <w:kern w:val="1"/>
          <w:sz w:val="28"/>
          <w:szCs w:val="28"/>
          <w:highlight w:val="none"/>
        </w:rPr>
      </w:pPr>
      <w:r>
        <w:rPr>
          <w:rFonts w:hint="eastAsia" w:ascii="仿宋" w:hAnsi="仿宋" w:eastAsia="仿宋" w:cs="仿宋"/>
          <w:sz w:val="28"/>
          <w:szCs w:val="28"/>
          <w:highlight w:val="none"/>
        </w:rPr>
        <w:t>⑥</w:t>
      </w:r>
      <w:r>
        <w:rPr>
          <w:rFonts w:hint="eastAsia" w:ascii="仿宋" w:hAnsi="仿宋" w:eastAsia="仿宋" w:cs="仿宋"/>
          <w:sz w:val="28"/>
          <w:szCs w:val="28"/>
          <w:highlight w:val="none"/>
          <w:u w:val="single"/>
        </w:rPr>
        <w:t>竣工验收合格后 3 个月内完成档案移交（包含建设单位档案移交时间），</w:t>
      </w:r>
      <w:r>
        <w:rPr>
          <w:rFonts w:hint="eastAsia" w:ascii="仿宋" w:hAnsi="仿宋" w:eastAsia="仿宋" w:cs="仿宋"/>
          <w:b/>
          <w:sz w:val="28"/>
          <w:szCs w:val="28"/>
          <w:highlight w:val="none"/>
          <w:u w:val="single"/>
        </w:rPr>
        <w:t>逾期未完成移交按照</w:t>
      </w:r>
      <w:r>
        <w:rPr>
          <w:rFonts w:hint="eastAsia" w:ascii="仿宋" w:hAnsi="仿宋" w:eastAsia="仿宋" w:cs="仿宋"/>
          <w:b/>
          <w:sz w:val="28"/>
          <w:szCs w:val="28"/>
          <w:highlight w:val="none"/>
          <w:u w:val="single"/>
          <w:lang w:val="en-US" w:eastAsia="zh-CN"/>
        </w:rPr>
        <w:t xml:space="preserve"> 500  </w:t>
      </w:r>
      <w:r>
        <w:rPr>
          <w:rFonts w:hint="eastAsia" w:ascii="仿宋" w:hAnsi="仿宋" w:eastAsia="仿宋" w:cs="仿宋"/>
          <w:sz w:val="28"/>
          <w:szCs w:val="28"/>
          <w:highlight w:val="none"/>
          <w:u w:val="single"/>
        </w:rPr>
        <w:t>元的金额扣罚承包人违约金。</w:t>
      </w:r>
    </w:p>
    <w:p w14:paraId="7337B5DD">
      <w:pPr>
        <w:numPr>
          <w:ilvl w:val="0"/>
          <w:numId w:val="8"/>
        </w:num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承包人应履行的其他义务：</w:t>
      </w:r>
    </w:p>
    <w:p w14:paraId="222553AE">
      <w:pPr>
        <w:pStyle w:val="37"/>
        <w:adjustRightInd/>
        <w:spacing w:line="360" w:lineRule="auto"/>
        <w:ind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u w:val="single" w:color="000000"/>
        </w:rPr>
        <w:t>1、执行《安徽省建筑工程施工扬尘污染防治规定》，负责施工扬尘污染防治工作，并承担责任及费用。做好施工现场安全生产及防火工作，确保不因施工原因造成安全隐患及事件。采取一切合理措施，保护工地及工地周围的环境，避免污染、噪音、排放或由于其施工方法的不当造成对公民人身和财产的危害或干扰；承包人应从现场清除并运走任何残物、垃圾和不再需要的临时工程。若本工程涉及地方协调及青苗补偿，由承包人负责并承担费用</w:t>
      </w:r>
      <w:r>
        <w:rPr>
          <w:rFonts w:hint="eastAsia" w:ascii="仿宋" w:hAnsi="仿宋" w:eastAsia="仿宋" w:cs="仿宋"/>
          <w:b/>
          <w:sz w:val="28"/>
          <w:szCs w:val="28"/>
          <w:highlight w:val="none"/>
        </w:rPr>
        <w:t xml:space="preserve"> 。</w:t>
      </w:r>
    </w:p>
    <w:p w14:paraId="5698D435">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2、承包人须按《保障农民工工资支付条例》（国令第 724 号）《工程建设领域农民工工资专用账户管理暂行办法》（人社部发〔2021〕53 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关于建立保障建筑行业农民工工资支付工作长效机制的通知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（淮</w:t>
      </w:r>
      <w:r>
        <w:rPr>
          <w:rFonts w:hint="eastAsia" w:ascii="仿宋" w:hAnsi="仿宋" w:eastAsia="仿宋" w:cs="仿宋"/>
          <w:sz w:val="28"/>
          <w:szCs w:val="28"/>
          <w:highlight w:val="none"/>
          <w:lang w:val="en-US" w:eastAsia="zh-CN"/>
        </w:rPr>
        <w:t>建管联</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2022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99</w:t>
      </w:r>
      <w:r>
        <w:rPr>
          <w:rFonts w:hint="eastAsia" w:ascii="仿宋" w:hAnsi="仿宋" w:eastAsia="仿宋" w:cs="仿宋"/>
          <w:sz w:val="28"/>
          <w:szCs w:val="28"/>
          <w:highlight w:val="none"/>
        </w:rPr>
        <w:t>号）等文件要求，在规定时间内足额缴纳农民工工资支付保障金。如中标后查证中标单位存在拖欠农民工工资的行为，必须在采购人限定的时间内完成支付，否则业主有权取消其中标资格，投标保证金及履约保证金（如有）不予退还。</w:t>
      </w:r>
    </w:p>
    <w:p w14:paraId="4D9589C5">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3、施工承包企业在工程项目所在地银行开设农民工工资（劳务费）专用账户。</w:t>
      </w:r>
    </w:p>
    <w:p w14:paraId="703E4112">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4、工程开工前要按照工程造价2%的比例缴存农民工工资保证金，存入工资保证金专户，也可用银行保函方式缴纳工资保证金。</w:t>
      </w:r>
    </w:p>
    <w:p w14:paraId="3ABED5F3">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5、全面推行工资支付“一卡通”制度。设立农民工工资专用账户，按月缴存不低于当期工程款支付节点报价清单的</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t>
      </w:r>
    </w:p>
    <w:p w14:paraId="0926BF07">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6、每月 20 日前，施工承包企业劳资专管员对施工现场的考勤系统进行用工考勤汇总，根据考勤情况编制务工人员工资发放表(表中包括农民工姓名、身份证号、工资卡号、出勤天数、应发工资、实发工资)，并经本人认可，施工承包企业签字确定后，将工资发放表上传监管系统，同时施工总承包企业通过监管帐户将工资款汇入农民工工资专用账户，工资代发机构根据审核通过的工资发放表将工资直接汇入务工人员工资卡中，并将工资支付信息反馈监管部门。</w:t>
      </w:r>
    </w:p>
    <w:p w14:paraId="723F420F">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7、工程完工后，承发包双方应及时进行竣工结算。承包企业应对农民工工资进行清算，并通过农民工工资专用账户一次性发放到位。</w:t>
      </w:r>
    </w:p>
    <w:p w14:paraId="56B3CF8E">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8.承包人违约的责任</w:t>
      </w:r>
    </w:p>
    <w:p w14:paraId="1EAF7E79">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或项目销售的影响。同时，</w:t>
      </w:r>
      <w:r>
        <w:rPr>
          <w:rFonts w:hint="eastAsia" w:ascii="仿宋" w:hAnsi="仿宋" w:eastAsia="仿宋" w:cs="仿宋"/>
          <w:b/>
          <w:sz w:val="28"/>
          <w:szCs w:val="28"/>
          <w:highlight w:val="none"/>
        </w:rPr>
        <w:t>承包人须向发包人支付违约金</w:t>
      </w:r>
      <w:r>
        <w:rPr>
          <w:rFonts w:hint="eastAsia" w:ascii="仿宋" w:hAnsi="仿宋" w:eastAsia="仿宋" w:cs="仿宋"/>
          <w:b/>
          <w:sz w:val="28"/>
          <w:szCs w:val="28"/>
          <w:highlight w:val="none"/>
          <w:u w:val="single"/>
          <w:lang w:val="en-US" w:eastAsia="zh-CN"/>
        </w:rPr>
        <w:t xml:space="preserve"> 1 </w:t>
      </w:r>
      <w:r>
        <w:rPr>
          <w:rFonts w:hint="eastAsia" w:ascii="仿宋" w:hAnsi="仿宋" w:eastAsia="仿宋" w:cs="仿宋"/>
          <w:b/>
          <w:sz w:val="28"/>
          <w:szCs w:val="28"/>
          <w:highlight w:val="none"/>
        </w:rPr>
        <w:t>万元/次</w:t>
      </w:r>
      <w:r>
        <w:rPr>
          <w:rFonts w:hint="eastAsia" w:ascii="仿宋" w:hAnsi="仿宋" w:eastAsia="仿宋" w:cs="仿宋"/>
          <w:sz w:val="28"/>
          <w:szCs w:val="28"/>
          <w:highlight w:val="none"/>
        </w:rPr>
        <w:t>，且发包人有权直接代为支付民工工资，并增加百分之</w:t>
      </w:r>
      <w:r>
        <w:rPr>
          <w:rFonts w:hint="eastAsia" w:ascii="仿宋" w:hAnsi="仿宋" w:eastAsia="仿宋" w:cs="仿宋"/>
          <w:sz w:val="28"/>
          <w:szCs w:val="28"/>
          <w:highlight w:val="none"/>
          <w:u w:val="single"/>
          <w:lang w:val="en-US" w:eastAsia="zh-CN"/>
        </w:rPr>
        <w:t xml:space="preserve"> 十五 </w:t>
      </w:r>
      <w:r>
        <w:rPr>
          <w:rFonts w:hint="eastAsia" w:ascii="仿宋" w:hAnsi="仿宋" w:eastAsia="仿宋" w:cs="仿宋"/>
          <w:sz w:val="28"/>
          <w:szCs w:val="28"/>
          <w:highlight w:val="none"/>
        </w:rPr>
        <w:t>管理费，从工程进度款中直接扣除；该违约金不能免除承包人应承担的其他责任。发生三次以上时发包人有权单方面解除合同，</w:t>
      </w:r>
      <w:r>
        <w:rPr>
          <w:rFonts w:hint="eastAsia" w:ascii="仿宋" w:hAnsi="仿宋" w:eastAsia="仿宋" w:cs="仿宋"/>
          <w:b/>
          <w:sz w:val="28"/>
          <w:szCs w:val="28"/>
          <w:highlight w:val="none"/>
        </w:rPr>
        <w:t>解除合同后剩余工程增加的工程造价由承包人负责赔偿（剩余工程增加造价=剩余工程合同价款减去剩余工程审计价款的差额）</w:t>
      </w:r>
      <w:r>
        <w:rPr>
          <w:rFonts w:hint="eastAsia" w:ascii="仿宋" w:hAnsi="仿宋" w:eastAsia="仿宋" w:cs="仿宋"/>
          <w:sz w:val="28"/>
          <w:szCs w:val="28"/>
          <w:highlight w:val="none"/>
        </w:rPr>
        <w:t>。</w:t>
      </w:r>
    </w:p>
    <w:p w14:paraId="2BAAA1CD">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9、投标单位中标后必须到工程项目所在地社会保险基金征缴机构办理工伤保险参保登记手续。</w:t>
      </w:r>
    </w:p>
    <w:p w14:paraId="718B9A71">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10、每月 20 日前提供当期完成工程形象进度报表、及下期月进度施工进度计划报表（如遇法定节假日，顺延至节假日后第 1 个工作日）。进度计划不迟于已批准的总进度计划；</w:t>
      </w:r>
      <w:r>
        <w:rPr>
          <w:rFonts w:hint="eastAsia" w:ascii="仿宋" w:hAnsi="仿宋" w:eastAsia="仿宋" w:cs="仿宋"/>
          <w:b/>
          <w:sz w:val="28"/>
          <w:szCs w:val="28"/>
          <w:highlight w:val="none"/>
        </w:rPr>
        <w:t>每缺少一次形象进度报表或者下期进度计划报表，承包人向发包人承担违约金人民币</w:t>
      </w:r>
      <w:r>
        <w:rPr>
          <w:rFonts w:hint="eastAsia" w:ascii="仿宋" w:hAnsi="仿宋" w:eastAsia="仿宋" w:cs="仿宋"/>
          <w:b/>
          <w:sz w:val="28"/>
          <w:szCs w:val="28"/>
          <w:highlight w:val="none"/>
          <w:u w:val="single"/>
          <w:lang w:val="en-US" w:eastAsia="zh-CN"/>
        </w:rPr>
        <w:t xml:space="preserve"> 壹仟</w:t>
      </w:r>
      <w:r>
        <w:rPr>
          <w:rFonts w:hint="eastAsia" w:ascii="仿宋" w:hAnsi="仿宋" w:eastAsia="仿宋" w:cs="仿宋"/>
          <w:b/>
          <w:sz w:val="28"/>
          <w:szCs w:val="28"/>
          <w:highlight w:val="none"/>
          <w:u w:val="single"/>
        </w:rPr>
        <w:t>元（</w:t>
      </w:r>
      <w:r>
        <w:rPr>
          <w:rFonts w:hint="eastAsia" w:ascii="仿宋" w:hAnsi="仿宋" w:eastAsia="仿宋" w:cs="仿宋"/>
          <w:b/>
          <w:sz w:val="28"/>
          <w:szCs w:val="28"/>
          <w:highlight w:val="none"/>
          <w:u w:val="single"/>
          <w:lang w:val="en-US" w:eastAsia="zh-CN"/>
        </w:rPr>
        <w:t xml:space="preserve">1000 </w:t>
      </w:r>
      <w:r>
        <w:rPr>
          <w:rFonts w:hint="eastAsia" w:ascii="仿宋" w:hAnsi="仿宋" w:eastAsia="仿宋" w:cs="仿宋"/>
          <w:b/>
          <w:sz w:val="28"/>
          <w:szCs w:val="28"/>
          <w:highlight w:val="none"/>
        </w:rPr>
        <w:t>元）。</w:t>
      </w:r>
    </w:p>
    <w:p w14:paraId="082E0DF6">
      <w:pPr>
        <w:tabs>
          <w:tab w:val="left" w:pos="1260"/>
        </w:tabs>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11、提供监理人现场办公用房 2 间和发包人办公用房 1 间（每间用房 12 平方米以上）及办公桌椅和资料柜，施工期间办公时发生的水、电费用由承包人承担；</w:t>
      </w:r>
    </w:p>
    <w:p w14:paraId="1C88AFD5">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12、保持场地清洁卫生，符合环境卫生和文明施工管理的有关规定； 交工前拆除临时建筑设施，清运建筑垃圾、多余土方和建筑材料，场地应清洁、平整、卫生，否则承担相应费用；</w:t>
      </w:r>
    </w:p>
    <w:p w14:paraId="032B7C85">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13、承包人应独立做好外部环境协调工作，发生费用自理。承包人应有依法纳税的义务，并与税务部门签订纳税承诺书；</w:t>
      </w:r>
    </w:p>
    <w:p w14:paraId="1C1569BC">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14、不得损坏施工场地四周地下管线和邻近建筑物、构筑物和需要保护的树木。如发生损坏，由承包人负责赔偿并承担由此造成的一切责任；</w:t>
      </w:r>
    </w:p>
    <w:p w14:paraId="370BB992">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15、承包人必须严格按照国家规定及发包人要求收集、整理、归档工程各环节的技术、管理资料。</w:t>
      </w:r>
    </w:p>
    <w:p w14:paraId="3D56B0FD">
      <w:pPr>
        <w:tabs>
          <w:tab w:val="left" w:pos="9460"/>
        </w:tabs>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16、中标人需按《淮南市建筑垃圾管理办法》淮南市人民政府令〔2016〕142 号文件要求运送渣土，因违法规定受到处罚、给采购人造成经济损失的，一切费用及损失由中标人承担。</w:t>
      </w:r>
    </w:p>
    <w:p w14:paraId="79A7857E">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17、承包人无条件接受建设单位委托的第三方质量检测机构进行全过程检测。</w:t>
      </w:r>
    </w:p>
    <w:p w14:paraId="7B8B4BBC">
      <w:pPr>
        <w:autoSpaceDE w:val="0"/>
        <w:autoSpaceDN w:val="0"/>
        <w:spacing w:line="360" w:lineRule="auto"/>
        <w:ind w:firstLine="562" w:firstLineChars="200"/>
        <w:rPr>
          <w:rFonts w:hint="eastAsia" w:ascii="仿宋" w:hAnsi="仿宋" w:eastAsia="仿宋" w:cs="仿宋"/>
          <w:kern w:val="1"/>
          <w:sz w:val="28"/>
          <w:szCs w:val="28"/>
          <w:highlight w:val="none"/>
        </w:rPr>
      </w:pPr>
      <w:r>
        <w:rPr>
          <w:rFonts w:hint="eastAsia" w:ascii="仿宋" w:hAnsi="仿宋" w:eastAsia="仿宋" w:cs="仿宋"/>
          <w:b/>
          <w:sz w:val="28"/>
          <w:szCs w:val="28"/>
          <w:highlight w:val="none"/>
        </w:rPr>
        <w:t>18、承包人严格落实《淮南市城市建设企业安全生产承诺制度》，企业依法参加工伤保险，为从业人员缴纳保险费，投保安全生产责任保险。承包人未为从业人员缴纳保险费的，每出现一人次向发包人承担违约金人民币</w:t>
      </w:r>
      <w:r>
        <w:rPr>
          <w:rFonts w:hint="eastAsia" w:ascii="仿宋" w:hAnsi="仿宋" w:eastAsia="仿宋" w:cs="仿宋"/>
          <w:b/>
          <w:sz w:val="28"/>
          <w:szCs w:val="28"/>
          <w:highlight w:val="none"/>
          <w:u w:val="single"/>
          <w:lang w:val="en-US" w:eastAsia="zh-CN"/>
        </w:rPr>
        <w:t xml:space="preserve"> 1000 </w:t>
      </w:r>
      <w:r>
        <w:rPr>
          <w:rFonts w:hint="eastAsia" w:ascii="仿宋" w:hAnsi="仿宋" w:eastAsia="仿宋" w:cs="仿宋"/>
          <w:b/>
          <w:sz w:val="28"/>
          <w:szCs w:val="28"/>
          <w:highlight w:val="none"/>
        </w:rPr>
        <w:t>元。</w:t>
      </w:r>
    </w:p>
    <w:p w14:paraId="3C4BD4E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3.2 项目经理</w:t>
      </w:r>
    </w:p>
    <w:p w14:paraId="1FC8538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3.2.1 项目经理：</w:t>
      </w:r>
    </w:p>
    <w:p w14:paraId="5C5F5CF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姓    名：</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493F69A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身份证号：</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2F833D6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建造师执业资格等级：</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7740ABF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建造师注册证书号：</w:t>
      </w:r>
      <w:r>
        <w:rPr>
          <w:rFonts w:hint="eastAsia" w:ascii="仿宋" w:hAnsi="仿宋" w:eastAsia="仿宋" w:cs="仿宋"/>
          <w:kern w:val="1"/>
          <w:sz w:val="28"/>
          <w:szCs w:val="28"/>
          <w:highlight w:val="none"/>
          <w:u w:val="single"/>
        </w:rPr>
        <w:t> </w:t>
      </w:r>
      <w:r>
        <w:rPr>
          <w:rFonts w:hint="eastAsia" w:ascii="仿宋" w:hAnsi="仿宋" w:eastAsia="仿宋" w:cs="仿宋"/>
          <w:kern w:val="1"/>
          <w:sz w:val="28"/>
          <w:szCs w:val="28"/>
          <w:highlight w:val="none"/>
        </w:rPr>
        <w:t>；</w:t>
      </w:r>
    </w:p>
    <w:p w14:paraId="6B32409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建造师执业印章号：</w:t>
      </w:r>
      <w:r>
        <w:rPr>
          <w:rFonts w:hint="eastAsia" w:ascii="仿宋" w:hAnsi="仿宋" w:eastAsia="仿宋" w:cs="仿宋"/>
          <w:kern w:val="1"/>
          <w:sz w:val="28"/>
          <w:szCs w:val="28"/>
          <w:highlight w:val="none"/>
          <w:u w:val="single"/>
        </w:rPr>
        <w:t> </w:t>
      </w:r>
      <w:r>
        <w:rPr>
          <w:rFonts w:hint="eastAsia" w:ascii="仿宋" w:hAnsi="仿宋" w:eastAsia="仿宋" w:cs="仿宋"/>
          <w:kern w:val="1"/>
          <w:sz w:val="28"/>
          <w:szCs w:val="28"/>
          <w:highlight w:val="none"/>
        </w:rPr>
        <w:t>；</w:t>
      </w:r>
    </w:p>
    <w:p w14:paraId="042304A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安全生产考核合格证书号：</w:t>
      </w:r>
      <w:r>
        <w:rPr>
          <w:rFonts w:hint="eastAsia" w:ascii="仿宋" w:hAnsi="仿宋" w:eastAsia="仿宋" w:cs="仿宋"/>
          <w:kern w:val="1"/>
          <w:sz w:val="28"/>
          <w:szCs w:val="28"/>
          <w:highlight w:val="none"/>
          <w:u w:val="single"/>
        </w:rPr>
        <w:t> </w:t>
      </w:r>
      <w:r>
        <w:rPr>
          <w:rFonts w:hint="eastAsia" w:ascii="仿宋" w:hAnsi="仿宋" w:eastAsia="仿宋" w:cs="仿宋"/>
          <w:kern w:val="1"/>
          <w:sz w:val="28"/>
          <w:szCs w:val="28"/>
          <w:highlight w:val="none"/>
        </w:rPr>
        <w:t>；</w:t>
      </w:r>
    </w:p>
    <w:p w14:paraId="392DC3E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联系电话：</w:t>
      </w:r>
      <w:r>
        <w:rPr>
          <w:rFonts w:hint="eastAsia" w:ascii="仿宋" w:hAnsi="仿宋" w:eastAsia="仿宋" w:cs="仿宋"/>
          <w:kern w:val="1"/>
          <w:sz w:val="28"/>
          <w:szCs w:val="28"/>
          <w:highlight w:val="none"/>
          <w:u w:val="single"/>
        </w:rPr>
        <w:t>         </w:t>
      </w:r>
      <w:r>
        <w:rPr>
          <w:rFonts w:hint="eastAsia" w:ascii="仿宋" w:hAnsi="仿宋" w:eastAsia="仿宋" w:cs="仿宋"/>
          <w:kern w:val="1"/>
          <w:sz w:val="28"/>
          <w:szCs w:val="28"/>
          <w:highlight w:val="none"/>
        </w:rPr>
        <w:t>；</w:t>
      </w:r>
    </w:p>
    <w:p w14:paraId="3CB1371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电子信箱：</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359260C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通信地址：</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6FD3E8A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承包人对项目经理的授权范围如下：</w:t>
      </w:r>
      <w:r>
        <w:rPr>
          <w:rFonts w:hint="eastAsia" w:ascii="仿宋" w:hAnsi="仿宋" w:eastAsia="仿宋" w:cs="仿宋"/>
          <w:kern w:val="1"/>
          <w:sz w:val="28"/>
          <w:szCs w:val="28"/>
          <w:highlight w:val="none"/>
          <w:u w:val="single"/>
        </w:rPr>
        <w:t>负责代表承包人全面履行合同，按要求组织施工；负责现场技术、安全、质量、进度管理；负责变更签证、验收和结（决）算；负责资料整理、收集、归档、管理、移交等。详见项目经理任命或授权书。</w:t>
      </w:r>
      <w:r>
        <w:rPr>
          <w:rFonts w:hint="eastAsia" w:ascii="仿宋" w:hAnsi="仿宋" w:eastAsia="仿宋" w:cs="仿宋"/>
          <w:kern w:val="1"/>
          <w:sz w:val="28"/>
          <w:szCs w:val="28"/>
          <w:highlight w:val="none"/>
        </w:rPr>
        <w:t>。</w:t>
      </w:r>
    </w:p>
    <w:p w14:paraId="43F01A5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关于项目经理每月在施工现场的时间要求：</w:t>
      </w:r>
      <w:r>
        <w:rPr>
          <w:rFonts w:hint="eastAsia" w:ascii="仿宋" w:hAnsi="仿宋" w:eastAsia="仿宋" w:cs="仿宋"/>
          <w:b/>
          <w:kern w:val="1"/>
          <w:sz w:val="28"/>
          <w:szCs w:val="28"/>
          <w:highlight w:val="none"/>
        </w:rPr>
        <w:t>承包人向发包人报送名单的</w:t>
      </w:r>
      <w:r>
        <w:rPr>
          <w:rFonts w:hint="eastAsia" w:ascii="仿宋" w:hAnsi="仿宋" w:eastAsia="仿宋" w:cs="仿宋"/>
          <w:kern w:val="1"/>
          <w:sz w:val="28"/>
          <w:szCs w:val="28"/>
          <w:highlight w:val="none"/>
          <w:u w:val="single"/>
        </w:rPr>
        <w:t>项目经理每月需到施工现场出勤不少于20日历天（每天驻场时间应不少于8小时，否则视为未出勤），</w:t>
      </w:r>
      <w:r>
        <w:rPr>
          <w:rFonts w:hint="eastAsia" w:ascii="仿宋" w:hAnsi="仿宋" w:eastAsia="仿宋" w:cs="仿宋"/>
          <w:b/>
          <w:kern w:val="1"/>
          <w:sz w:val="28"/>
          <w:szCs w:val="28"/>
          <w:highlight w:val="none"/>
          <w:u w:val="single"/>
        </w:rPr>
        <w:t>接受发包人的考勤，</w:t>
      </w:r>
      <w:r>
        <w:rPr>
          <w:rFonts w:hint="eastAsia" w:ascii="仿宋" w:hAnsi="仿宋" w:eastAsia="仿宋" w:cs="仿宋"/>
          <w:kern w:val="1"/>
          <w:sz w:val="28"/>
          <w:szCs w:val="28"/>
          <w:highlight w:val="none"/>
          <w:u w:val="single"/>
        </w:rPr>
        <w:t>如每月出勤少于20日历天的，承包人按项目经理缺勤的天数承担违约金</w:t>
      </w:r>
      <w:r>
        <w:rPr>
          <w:rFonts w:hint="eastAsia" w:ascii="仿宋" w:hAnsi="仿宋" w:eastAsia="仿宋" w:cs="仿宋"/>
          <w:b/>
          <w:kern w:val="1"/>
          <w:sz w:val="28"/>
          <w:szCs w:val="28"/>
          <w:highlight w:val="none"/>
          <w:u w:val="single"/>
          <w:lang w:val="en-US" w:eastAsia="zh-CN"/>
        </w:rPr>
        <w:t xml:space="preserve"> 500 </w:t>
      </w:r>
      <w:r>
        <w:rPr>
          <w:rFonts w:hint="eastAsia" w:ascii="仿宋" w:hAnsi="仿宋" w:eastAsia="仿宋" w:cs="仿宋"/>
          <w:b/>
          <w:kern w:val="1"/>
          <w:sz w:val="28"/>
          <w:szCs w:val="28"/>
          <w:highlight w:val="none"/>
          <w:u w:val="single"/>
        </w:rPr>
        <w:t>元/天</w:t>
      </w:r>
      <w:r>
        <w:rPr>
          <w:rFonts w:hint="eastAsia" w:ascii="仿宋" w:hAnsi="仿宋" w:eastAsia="仿宋" w:cs="仿宋"/>
          <w:kern w:val="1"/>
          <w:sz w:val="28"/>
          <w:szCs w:val="28"/>
          <w:highlight w:val="none"/>
          <w:u w:val="single"/>
        </w:rPr>
        <w:t>，</w:t>
      </w:r>
      <w:r>
        <w:rPr>
          <w:rFonts w:hint="eastAsia" w:ascii="仿宋" w:hAnsi="仿宋" w:eastAsia="仿宋" w:cs="仿宋"/>
          <w:b/>
          <w:kern w:val="1"/>
          <w:sz w:val="28"/>
          <w:szCs w:val="28"/>
          <w:highlight w:val="none"/>
          <w:u w:val="single"/>
        </w:rPr>
        <w:t>未参加项目例会、监理例会等各种会议的，每缺勤一次向发包人承担违约金人民币</w:t>
      </w:r>
      <w:r>
        <w:rPr>
          <w:rFonts w:hint="eastAsia" w:ascii="仿宋" w:hAnsi="仿宋" w:eastAsia="仿宋" w:cs="仿宋"/>
          <w:b/>
          <w:kern w:val="1"/>
          <w:sz w:val="28"/>
          <w:szCs w:val="28"/>
          <w:highlight w:val="none"/>
          <w:u w:val="single"/>
          <w:lang w:val="en-US" w:eastAsia="zh-CN"/>
        </w:rPr>
        <w:t xml:space="preserve"> 1000 </w:t>
      </w:r>
      <w:r>
        <w:rPr>
          <w:rFonts w:hint="eastAsia" w:ascii="仿宋" w:hAnsi="仿宋" w:eastAsia="仿宋" w:cs="仿宋"/>
          <w:b/>
          <w:kern w:val="1"/>
          <w:sz w:val="28"/>
          <w:szCs w:val="28"/>
          <w:highlight w:val="none"/>
          <w:u w:val="single"/>
        </w:rPr>
        <w:t>元，</w:t>
      </w:r>
      <w:r>
        <w:rPr>
          <w:rFonts w:hint="eastAsia" w:ascii="仿宋" w:hAnsi="仿宋" w:eastAsia="仿宋" w:cs="仿宋"/>
          <w:kern w:val="1"/>
          <w:sz w:val="28"/>
          <w:szCs w:val="28"/>
          <w:highlight w:val="none"/>
          <w:u w:val="single"/>
        </w:rPr>
        <w:t>并在工程进度款或其他款项中扣除。如合同期内任何一个月内项目经理出勤少于15日历天，承包人除了按上述标准缴纳违约金外，发包人有权要求限期更换项目经理。发包人可报请建设行政主管部门对承包人及项目经理记录不良信用、责成承包人更换项目经理并到岗履职， 承包人承担</w:t>
      </w:r>
      <w:r>
        <w:rPr>
          <w:rFonts w:hint="eastAsia" w:ascii="仿宋" w:hAnsi="仿宋" w:eastAsia="仿宋" w:cs="仿宋"/>
          <w:kern w:val="1"/>
          <w:sz w:val="28"/>
          <w:szCs w:val="28"/>
          <w:highlight w:val="none"/>
          <w:u w:val="single"/>
          <w:lang w:val="en-US" w:eastAsia="zh-CN"/>
        </w:rPr>
        <w:t xml:space="preserve"> 10000 </w:t>
      </w:r>
      <w:r>
        <w:rPr>
          <w:rFonts w:hint="eastAsia" w:ascii="仿宋" w:hAnsi="仿宋" w:eastAsia="仿宋" w:cs="仿宋"/>
          <w:kern w:val="1"/>
          <w:sz w:val="28"/>
          <w:szCs w:val="28"/>
          <w:highlight w:val="none"/>
          <w:u w:val="single"/>
        </w:rPr>
        <w:t>元/人/次违约金，直至满足发包人要求。</w:t>
      </w:r>
      <w:r>
        <w:rPr>
          <w:rFonts w:hint="eastAsia" w:ascii="仿宋" w:hAnsi="仿宋" w:eastAsia="仿宋" w:cs="仿宋"/>
          <w:kern w:val="1"/>
          <w:sz w:val="28"/>
          <w:szCs w:val="28"/>
          <w:highlight w:val="none"/>
        </w:rPr>
        <w:t xml:space="preserve"> </w:t>
      </w:r>
    </w:p>
    <w:p w14:paraId="4CB4967D">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项目经理未经批准，擅自离开施工现场的违约责任：</w:t>
      </w:r>
      <w:r>
        <w:rPr>
          <w:rFonts w:hint="eastAsia" w:ascii="仿宋" w:hAnsi="仿宋" w:eastAsia="仿宋" w:cs="仿宋"/>
          <w:b/>
          <w:sz w:val="28"/>
          <w:szCs w:val="28"/>
          <w:highlight w:val="none"/>
          <w:u w:val="single"/>
        </w:rPr>
        <w:t>向发包人支付违约金</w:t>
      </w:r>
      <w:r>
        <w:rPr>
          <w:rFonts w:hint="eastAsia" w:ascii="仿宋" w:hAnsi="仿宋" w:eastAsia="仿宋" w:cs="仿宋"/>
          <w:b/>
          <w:sz w:val="28"/>
          <w:szCs w:val="28"/>
          <w:highlight w:val="none"/>
          <w:u w:val="single"/>
          <w:lang w:val="en-US" w:eastAsia="zh-CN"/>
        </w:rPr>
        <w:t xml:space="preserve"> 1000 </w:t>
      </w:r>
      <w:r>
        <w:rPr>
          <w:rFonts w:hint="eastAsia" w:ascii="仿宋" w:hAnsi="仿宋" w:eastAsia="仿宋" w:cs="仿宋"/>
          <w:b/>
          <w:sz w:val="28"/>
          <w:szCs w:val="28"/>
          <w:highlight w:val="none"/>
          <w:u w:val="single"/>
        </w:rPr>
        <w:t>元/次</w:t>
      </w:r>
      <w:r>
        <w:rPr>
          <w:rFonts w:hint="eastAsia" w:ascii="仿宋" w:hAnsi="仿宋" w:eastAsia="仿宋" w:cs="仿宋"/>
          <w:b/>
          <w:sz w:val="28"/>
          <w:szCs w:val="28"/>
          <w:highlight w:val="none"/>
        </w:rPr>
        <w:t>。</w:t>
      </w:r>
    </w:p>
    <w:p w14:paraId="4B550951">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1"/>
          <w:sz w:val="28"/>
          <w:szCs w:val="28"/>
          <w:highlight w:val="none"/>
        </w:rPr>
        <w:t>3.2.3 承包人更换项目经理的违约责任：</w:t>
      </w:r>
      <w:r>
        <w:rPr>
          <w:rFonts w:hint="eastAsia" w:ascii="仿宋" w:hAnsi="仿宋" w:eastAsia="仿宋" w:cs="仿宋"/>
          <w:kern w:val="1"/>
          <w:sz w:val="28"/>
          <w:szCs w:val="28"/>
          <w:highlight w:val="none"/>
          <w:u w:val="single"/>
        </w:rPr>
        <w:t xml:space="preserve"> </w:t>
      </w:r>
      <w:r>
        <w:rPr>
          <w:rFonts w:hint="eastAsia" w:ascii="仿宋" w:hAnsi="仿宋" w:eastAsia="仿宋" w:cs="仿宋"/>
          <w:b/>
          <w:sz w:val="28"/>
          <w:szCs w:val="28"/>
          <w:highlight w:val="none"/>
          <w:u w:val="single" w:color="000000"/>
        </w:rPr>
        <w:t>项目经理（或联合体各方项目经理）原则上不允许更换，除特殊原因经发包人批准同意后可以更换，</w:t>
      </w:r>
      <w:r>
        <w:rPr>
          <w:rFonts w:hint="eastAsia" w:ascii="仿宋" w:hAnsi="仿宋" w:eastAsia="仿宋" w:cs="仿宋"/>
          <w:b/>
          <w:sz w:val="28"/>
          <w:szCs w:val="28"/>
          <w:highlight w:val="none"/>
        </w:rPr>
        <w:t>但仍需承担</w:t>
      </w:r>
      <w:r>
        <w:rPr>
          <w:rFonts w:hint="eastAsia" w:ascii="仿宋" w:hAnsi="仿宋" w:eastAsia="仿宋" w:cs="仿宋"/>
          <w:b/>
          <w:sz w:val="28"/>
          <w:szCs w:val="28"/>
          <w:highlight w:val="none"/>
          <w:u w:val="single"/>
          <w:lang w:val="en-US" w:eastAsia="zh-CN"/>
        </w:rPr>
        <w:t xml:space="preserve"> 1000  </w:t>
      </w:r>
      <w:r>
        <w:rPr>
          <w:rFonts w:hint="eastAsia" w:ascii="仿宋" w:hAnsi="仿宋" w:eastAsia="仿宋" w:cs="仿宋"/>
          <w:b/>
          <w:sz w:val="28"/>
          <w:szCs w:val="28"/>
          <w:highlight w:val="none"/>
        </w:rPr>
        <w:t>元/次的违约金</w:t>
      </w:r>
      <w:r>
        <w:rPr>
          <w:rFonts w:hint="eastAsia" w:ascii="仿宋" w:hAnsi="仿宋" w:eastAsia="仿宋" w:cs="仿宋"/>
          <w:sz w:val="28"/>
          <w:szCs w:val="28"/>
          <w:highlight w:val="none"/>
        </w:rPr>
        <w:t>并且承包人承担上述违约给发包人造成的一切损失，</w:t>
      </w:r>
      <w:r>
        <w:rPr>
          <w:rFonts w:hint="eastAsia" w:ascii="仿宋" w:hAnsi="仿宋" w:eastAsia="仿宋" w:cs="仿宋"/>
          <w:b/>
          <w:sz w:val="28"/>
          <w:szCs w:val="28"/>
          <w:highlight w:val="none"/>
          <w:u w:val="single" w:color="000000"/>
        </w:rPr>
        <w:t>同时更改的项目经理在能力、业绩、奖项等方面不低于原中标项目经理</w:t>
      </w:r>
      <w:r>
        <w:rPr>
          <w:rFonts w:hint="eastAsia" w:ascii="仿宋" w:hAnsi="仿宋" w:eastAsia="仿宋" w:cs="仿宋"/>
          <w:sz w:val="28"/>
          <w:szCs w:val="28"/>
          <w:highlight w:val="none"/>
        </w:rPr>
        <w:t>。承包人擅自更换项目经理或更换的项目经理不符合发包人要求的，发包人有权单方面解除合同、没收履约保证金，且承包人还须承担发包人再次招标（采购）或组织施工单位进场的各项费用及逾期竣工的损失。</w:t>
      </w:r>
    </w:p>
    <w:p w14:paraId="0F3F937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3.2.4 承包人无正当理由拒绝更换项目经理的违约责任：</w:t>
      </w:r>
      <w:r>
        <w:rPr>
          <w:rFonts w:hint="eastAsia" w:ascii="仿宋" w:hAnsi="仿宋" w:eastAsia="仿宋" w:cs="仿宋"/>
          <w:kern w:val="1"/>
          <w:sz w:val="28"/>
          <w:szCs w:val="28"/>
          <w:highlight w:val="none"/>
          <w:u w:val="single"/>
        </w:rPr>
        <w:t>承包人承担</w:t>
      </w:r>
      <w:r>
        <w:rPr>
          <w:rFonts w:hint="eastAsia" w:ascii="仿宋" w:hAnsi="仿宋" w:eastAsia="仿宋" w:cs="仿宋"/>
          <w:kern w:val="1"/>
          <w:sz w:val="28"/>
          <w:szCs w:val="28"/>
          <w:highlight w:val="none"/>
          <w:u w:val="single"/>
          <w:lang w:val="en-US" w:eastAsia="zh-CN"/>
        </w:rPr>
        <w:t xml:space="preserve"> 1000 </w:t>
      </w:r>
      <w:r>
        <w:rPr>
          <w:rFonts w:hint="eastAsia" w:ascii="仿宋" w:hAnsi="仿宋" w:eastAsia="仿宋" w:cs="仿宋"/>
          <w:kern w:val="1"/>
          <w:sz w:val="28"/>
          <w:szCs w:val="28"/>
          <w:highlight w:val="none"/>
          <w:u w:val="single"/>
        </w:rPr>
        <w:t>元/次的违约金，同时发包人有权单方面解除合同、没收履约保证金，且承包人还须承担发包人再次招标（采购）或组织施工单位进场的各项费用及逾期竣工的损失。</w:t>
      </w:r>
    </w:p>
    <w:p w14:paraId="33A0C98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3.3 承包人人员</w:t>
      </w:r>
    </w:p>
    <w:p w14:paraId="259CFD25">
      <w:pPr>
        <w:pStyle w:val="37"/>
        <w:adjustRightInd/>
        <w:spacing w:line="360" w:lineRule="auto"/>
        <w:ind w:firstLine="560" w:firstLineChars="200"/>
        <w:jc w:val="left"/>
        <w:rPr>
          <w:rFonts w:hint="eastAsia" w:ascii="仿宋" w:hAnsi="仿宋" w:eastAsia="仿宋" w:cs="仿宋"/>
          <w:b/>
          <w:kern w:val="1"/>
          <w:sz w:val="28"/>
          <w:szCs w:val="28"/>
          <w:highlight w:val="none"/>
        </w:rPr>
      </w:pPr>
      <w:r>
        <w:rPr>
          <w:rFonts w:hint="eastAsia" w:ascii="仿宋" w:hAnsi="仿宋" w:eastAsia="仿宋" w:cs="仿宋"/>
          <w:kern w:val="1"/>
          <w:sz w:val="28"/>
          <w:szCs w:val="28"/>
          <w:highlight w:val="none"/>
        </w:rPr>
        <w:t>承包人项目管理机构的现场技术负责人、主要管理人员在整个项目施工期内必须到位。技术负责人及其他施工管理人员每月在工程施工现场时间不少于 20个日历天，技术负责人</w:t>
      </w:r>
      <w:r>
        <w:rPr>
          <w:rFonts w:hint="eastAsia" w:ascii="仿宋" w:hAnsi="仿宋" w:eastAsia="仿宋" w:cs="仿宋"/>
          <w:b/>
          <w:kern w:val="1"/>
          <w:sz w:val="28"/>
          <w:szCs w:val="28"/>
          <w:highlight w:val="none"/>
        </w:rPr>
        <w:t xml:space="preserve">每缺勤一次处罚 </w:t>
      </w:r>
      <w:r>
        <w:rPr>
          <w:rFonts w:hint="eastAsia" w:ascii="仿宋" w:hAnsi="仿宋" w:eastAsia="仿宋" w:cs="仿宋"/>
          <w:b/>
          <w:kern w:val="1"/>
          <w:sz w:val="28"/>
          <w:szCs w:val="28"/>
          <w:highlight w:val="none"/>
          <w:u w:val="single"/>
          <w:lang w:val="en-US" w:eastAsia="zh-CN"/>
        </w:rPr>
        <w:t xml:space="preserve"> 1000  </w:t>
      </w:r>
      <w:r>
        <w:rPr>
          <w:rFonts w:hint="eastAsia" w:ascii="仿宋" w:hAnsi="仿宋" w:eastAsia="仿宋" w:cs="仿宋"/>
          <w:b/>
          <w:kern w:val="1"/>
          <w:sz w:val="28"/>
          <w:szCs w:val="28"/>
          <w:highlight w:val="none"/>
        </w:rPr>
        <w:t>元/人•次的违约金，专职安全员</w:t>
      </w:r>
      <w:r>
        <w:rPr>
          <w:rFonts w:hint="eastAsia" w:ascii="仿宋" w:hAnsi="仿宋" w:eastAsia="仿宋" w:cs="仿宋"/>
          <w:b/>
          <w:kern w:val="1"/>
          <w:sz w:val="28"/>
          <w:szCs w:val="28"/>
          <w:highlight w:val="none"/>
          <w:u w:val="single"/>
          <w:lang w:val="en-US" w:eastAsia="zh-CN"/>
        </w:rPr>
        <w:t xml:space="preserve"> 500 </w:t>
      </w:r>
      <w:r>
        <w:rPr>
          <w:rFonts w:hint="eastAsia" w:ascii="仿宋" w:hAnsi="仿宋" w:eastAsia="仿宋" w:cs="仿宋"/>
          <w:b/>
          <w:kern w:val="1"/>
          <w:sz w:val="28"/>
          <w:szCs w:val="28"/>
          <w:highlight w:val="none"/>
        </w:rPr>
        <w:t>元/人•次的违约金，其他管理人员每缺勤一次处罚</w:t>
      </w:r>
      <w:r>
        <w:rPr>
          <w:rFonts w:hint="eastAsia" w:ascii="仿宋" w:hAnsi="仿宋" w:eastAsia="仿宋" w:cs="仿宋"/>
          <w:b/>
          <w:kern w:val="1"/>
          <w:sz w:val="28"/>
          <w:szCs w:val="28"/>
          <w:highlight w:val="none"/>
          <w:u w:val="single"/>
        </w:rPr>
        <w:t xml:space="preserve"> </w:t>
      </w:r>
      <w:r>
        <w:rPr>
          <w:rFonts w:hint="eastAsia" w:ascii="仿宋" w:hAnsi="仿宋" w:eastAsia="仿宋" w:cs="仿宋"/>
          <w:b/>
          <w:kern w:val="1"/>
          <w:sz w:val="28"/>
          <w:szCs w:val="28"/>
          <w:highlight w:val="none"/>
          <w:u w:val="single"/>
          <w:lang w:val="en-US" w:eastAsia="zh-CN"/>
        </w:rPr>
        <w:t xml:space="preserve">500  </w:t>
      </w:r>
      <w:r>
        <w:rPr>
          <w:rFonts w:hint="eastAsia" w:ascii="仿宋" w:hAnsi="仿宋" w:eastAsia="仿宋" w:cs="仿宋"/>
          <w:b/>
          <w:kern w:val="1"/>
          <w:sz w:val="28"/>
          <w:szCs w:val="28"/>
          <w:highlight w:val="none"/>
        </w:rPr>
        <w:t>元/人•次的违约金。</w:t>
      </w:r>
    </w:p>
    <w:p w14:paraId="3F38F7A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3.3.1 承包人提交项目管理机构及施工现场管理人员安排报告的期限：</w:t>
      </w:r>
      <w:r>
        <w:rPr>
          <w:rFonts w:hint="eastAsia" w:ascii="仿宋" w:hAnsi="仿宋" w:eastAsia="仿宋" w:cs="仿宋"/>
          <w:kern w:val="1"/>
          <w:sz w:val="28"/>
          <w:szCs w:val="28"/>
          <w:highlight w:val="none"/>
          <w:u w:val="single"/>
        </w:rPr>
        <w:t>承包人应在接到开工通知后 3日内</w:t>
      </w:r>
      <w:r>
        <w:rPr>
          <w:rFonts w:hint="eastAsia" w:ascii="仿宋" w:hAnsi="仿宋" w:eastAsia="仿宋" w:cs="仿宋"/>
          <w:kern w:val="1"/>
          <w:sz w:val="28"/>
          <w:szCs w:val="28"/>
          <w:highlight w:val="none"/>
        </w:rPr>
        <w:t>，依据响应文件承诺向发包人提交承包人项目管理机构及施工现场人员安排的报告，其内容应包括</w:t>
      </w:r>
      <w:r>
        <w:rPr>
          <w:rFonts w:hint="eastAsia" w:ascii="仿宋" w:hAnsi="仿宋" w:eastAsia="仿宋" w:cs="仿宋"/>
          <w:kern w:val="1"/>
          <w:sz w:val="28"/>
          <w:szCs w:val="28"/>
          <w:highlight w:val="none"/>
          <w:u w:val="single"/>
        </w:rPr>
        <w:t>合同管理、施工、技术、材料、质量、安全、财务等主要施工管理人员名单及其岗位、注册执业资格等，以及各工种技术工人的安排情况。</w:t>
      </w:r>
    </w:p>
    <w:p w14:paraId="1D2D5F8D">
      <w:pPr>
        <w:spacing w:line="360" w:lineRule="auto"/>
        <w:ind w:firstLine="560" w:firstLineChars="200"/>
        <w:rPr>
          <w:rFonts w:hint="eastAsia" w:ascii="仿宋" w:hAnsi="仿宋" w:eastAsia="仿宋" w:cs="仿宋"/>
          <w:b/>
          <w:bCs/>
          <w:kern w:val="1"/>
          <w:sz w:val="28"/>
          <w:szCs w:val="28"/>
          <w:highlight w:val="none"/>
        </w:rPr>
      </w:pPr>
      <w:r>
        <w:rPr>
          <w:rFonts w:hint="eastAsia" w:ascii="仿宋" w:hAnsi="仿宋" w:eastAsia="仿宋" w:cs="仿宋"/>
          <w:kern w:val="1"/>
          <w:sz w:val="28"/>
          <w:szCs w:val="28"/>
          <w:highlight w:val="none"/>
        </w:rPr>
        <w:t>3.3.2 承包人无正当理由拒绝撤换主要施工管理人员的违约责任：</w:t>
      </w:r>
      <w:r>
        <w:rPr>
          <w:rFonts w:hint="eastAsia" w:ascii="仿宋" w:hAnsi="仿宋" w:eastAsia="仿宋" w:cs="仿宋"/>
          <w:kern w:val="1"/>
          <w:sz w:val="28"/>
          <w:szCs w:val="28"/>
          <w:highlight w:val="none"/>
          <w:u w:val="single"/>
        </w:rPr>
        <w:t>首先向发包人承担技术负责人</w:t>
      </w:r>
      <w:r>
        <w:rPr>
          <w:rFonts w:hint="eastAsia" w:ascii="仿宋" w:hAnsi="仿宋" w:eastAsia="仿宋" w:cs="仿宋"/>
          <w:kern w:val="1"/>
          <w:sz w:val="28"/>
          <w:szCs w:val="28"/>
          <w:highlight w:val="none"/>
          <w:u w:val="single"/>
          <w:lang w:val="en-US" w:eastAsia="zh-CN"/>
        </w:rPr>
        <w:t>3000</w:t>
      </w:r>
      <w:r>
        <w:rPr>
          <w:rFonts w:hint="eastAsia" w:ascii="仿宋" w:hAnsi="仿宋" w:eastAsia="仿宋" w:cs="仿宋"/>
          <w:kern w:val="1"/>
          <w:sz w:val="28"/>
          <w:szCs w:val="28"/>
          <w:highlight w:val="none"/>
          <w:u w:val="single"/>
        </w:rPr>
        <w:t>元/人次违约金，专职安全员</w:t>
      </w:r>
      <w:r>
        <w:rPr>
          <w:rFonts w:hint="eastAsia" w:ascii="仿宋" w:hAnsi="仿宋" w:eastAsia="仿宋" w:cs="仿宋"/>
          <w:kern w:val="1"/>
          <w:sz w:val="28"/>
          <w:szCs w:val="28"/>
          <w:highlight w:val="none"/>
          <w:u w:val="single"/>
          <w:lang w:val="en-US" w:eastAsia="zh-CN"/>
        </w:rPr>
        <w:t>1000</w:t>
      </w:r>
      <w:r>
        <w:rPr>
          <w:rFonts w:hint="eastAsia" w:ascii="仿宋" w:hAnsi="仿宋" w:eastAsia="仿宋" w:cs="仿宋"/>
          <w:kern w:val="1"/>
          <w:sz w:val="28"/>
          <w:szCs w:val="28"/>
          <w:highlight w:val="none"/>
          <w:u w:val="single"/>
        </w:rPr>
        <w:t>元/人次违约金，其他管理人员</w:t>
      </w:r>
      <w:r>
        <w:rPr>
          <w:rFonts w:hint="eastAsia" w:ascii="仿宋" w:hAnsi="仿宋" w:eastAsia="仿宋" w:cs="仿宋"/>
          <w:kern w:val="1"/>
          <w:sz w:val="28"/>
          <w:szCs w:val="28"/>
          <w:highlight w:val="none"/>
          <w:u w:val="single"/>
          <w:lang w:val="en-US" w:eastAsia="zh-CN"/>
        </w:rPr>
        <w:t>1000</w:t>
      </w:r>
      <w:r>
        <w:rPr>
          <w:rFonts w:hint="eastAsia" w:ascii="仿宋" w:hAnsi="仿宋" w:eastAsia="仿宋" w:cs="仿宋"/>
          <w:kern w:val="1"/>
          <w:sz w:val="28"/>
          <w:szCs w:val="28"/>
          <w:highlight w:val="none"/>
          <w:u w:val="single"/>
        </w:rPr>
        <w:t>元/人次违约金。同时发包人有权解除建设工程施工合同，所造成的一切损失由承包人承担。</w:t>
      </w:r>
    </w:p>
    <w:p w14:paraId="02414EF1">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 xml:space="preserve">3.3.3 </w:t>
      </w:r>
      <w:r>
        <w:rPr>
          <w:rFonts w:hint="eastAsia" w:ascii="仿宋" w:hAnsi="仿宋" w:eastAsia="仿宋" w:cs="仿宋"/>
          <w:sz w:val="28"/>
          <w:szCs w:val="28"/>
          <w:highlight w:val="none"/>
        </w:rPr>
        <w:t xml:space="preserve"> 承包人主要施工管理人员离开施工现场的批准要求：</w:t>
      </w:r>
      <w:r>
        <w:rPr>
          <w:rFonts w:hint="eastAsia" w:ascii="仿宋" w:hAnsi="仿宋" w:eastAsia="仿宋" w:cs="仿宋"/>
          <w:sz w:val="28"/>
          <w:szCs w:val="28"/>
          <w:highlight w:val="none"/>
          <w:u w:val="single" w:color="000000"/>
        </w:rPr>
        <w:t>由总监理工程师初步审核同意，发包人批准后方可离开。为便于现场考勤，承包人必须无条件接受发包人提供的指纹或面部识别考勤。对施工现场组织机构、关键岗位人员进行考勤管理。</w:t>
      </w:r>
    </w:p>
    <w:p w14:paraId="03E03742">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3.3.4 承包人擅自更换主要施工管理人员的违约责任：</w:t>
      </w:r>
      <w:r>
        <w:rPr>
          <w:rFonts w:hint="eastAsia" w:ascii="仿宋" w:hAnsi="仿宋" w:eastAsia="仿宋" w:cs="仿宋"/>
          <w:b/>
          <w:sz w:val="28"/>
          <w:szCs w:val="28"/>
          <w:highlight w:val="none"/>
          <w:u w:val="single" w:color="000000"/>
        </w:rPr>
        <w:t>技术负责人原则上不允许更换，除特殊原因经发包人批准同意后可以更换</w:t>
      </w:r>
      <w:r>
        <w:rPr>
          <w:rFonts w:hint="eastAsia" w:ascii="仿宋" w:hAnsi="仿宋" w:eastAsia="仿宋" w:cs="仿宋"/>
          <w:b/>
          <w:bCs/>
          <w:kern w:val="1"/>
          <w:sz w:val="28"/>
          <w:szCs w:val="28"/>
          <w:highlight w:val="none"/>
          <w:u w:val="single"/>
        </w:rPr>
        <w:t>：变更技术负责人承担</w:t>
      </w:r>
      <w:r>
        <w:rPr>
          <w:rFonts w:hint="eastAsia" w:ascii="仿宋" w:hAnsi="仿宋" w:eastAsia="仿宋" w:cs="仿宋"/>
          <w:b/>
          <w:bCs/>
          <w:kern w:val="1"/>
          <w:sz w:val="28"/>
          <w:szCs w:val="28"/>
          <w:highlight w:val="none"/>
          <w:u w:val="single"/>
          <w:lang w:val="en-US" w:eastAsia="zh-CN"/>
        </w:rPr>
        <w:t xml:space="preserve"> 1000 </w:t>
      </w:r>
      <w:r>
        <w:rPr>
          <w:rFonts w:hint="eastAsia" w:ascii="仿宋" w:hAnsi="仿宋" w:eastAsia="仿宋" w:cs="仿宋"/>
          <w:b/>
          <w:bCs/>
          <w:kern w:val="1"/>
          <w:sz w:val="28"/>
          <w:szCs w:val="28"/>
          <w:highlight w:val="none"/>
          <w:u w:val="single"/>
        </w:rPr>
        <w:t>元/人•次违约金，</w:t>
      </w:r>
      <w:r>
        <w:rPr>
          <w:rFonts w:hint="eastAsia" w:ascii="仿宋" w:hAnsi="仿宋" w:eastAsia="仿宋" w:cs="仿宋"/>
          <w:b/>
          <w:sz w:val="28"/>
          <w:szCs w:val="28"/>
          <w:highlight w:val="none"/>
          <w:u w:val="single" w:color="000000"/>
        </w:rPr>
        <w:t>同时更改的项目技术负责人在能力、业绩、奖项等方面不低于原中标技术负责人，</w:t>
      </w:r>
      <w:r>
        <w:rPr>
          <w:rFonts w:hint="eastAsia" w:ascii="仿宋" w:hAnsi="仿宋" w:eastAsia="仿宋" w:cs="仿宋"/>
          <w:b/>
          <w:sz w:val="28"/>
          <w:szCs w:val="28"/>
          <w:highlight w:val="none"/>
          <w:u w:val="single"/>
        </w:rPr>
        <w:t>变</w:t>
      </w:r>
      <w:r>
        <w:rPr>
          <w:rFonts w:hint="eastAsia" w:ascii="仿宋" w:hAnsi="仿宋" w:eastAsia="仿宋" w:cs="仿宋"/>
          <w:b/>
          <w:bCs/>
          <w:kern w:val="1"/>
          <w:sz w:val="28"/>
          <w:szCs w:val="28"/>
          <w:highlight w:val="none"/>
          <w:u w:val="single"/>
        </w:rPr>
        <w:t>更</w:t>
      </w:r>
      <w:r>
        <w:rPr>
          <w:rFonts w:hint="eastAsia" w:ascii="仿宋" w:hAnsi="仿宋" w:eastAsia="仿宋" w:cs="仿宋"/>
          <w:b/>
          <w:sz w:val="28"/>
          <w:szCs w:val="28"/>
          <w:highlight w:val="none"/>
          <w:u w:val="single" w:color="000000"/>
        </w:rPr>
        <w:t>专职安全员</w:t>
      </w:r>
      <w:r>
        <w:rPr>
          <w:rFonts w:hint="eastAsia" w:ascii="仿宋" w:hAnsi="仿宋" w:eastAsia="仿宋" w:cs="仿宋"/>
          <w:b/>
          <w:sz w:val="28"/>
          <w:szCs w:val="28"/>
          <w:highlight w:val="none"/>
          <w:u w:val="single" w:color="000000"/>
          <w:lang w:val="en-US" w:eastAsia="zh-CN"/>
        </w:rPr>
        <w:t xml:space="preserve"> 1000 </w:t>
      </w:r>
      <w:r>
        <w:rPr>
          <w:rFonts w:hint="eastAsia" w:ascii="仿宋" w:hAnsi="仿宋" w:eastAsia="仿宋" w:cs="仿宋"/>
          <w:b/>
          <w:sz w:val="28"/>
          <w:szCs w:val="28"/>
          <w:highlight w:val="none"/>
          <w:u w:val="single" w:color="000000"/>
        </w:rPr>
        <w:t>元/人次违约金，</w:t>
      </w:r>
      <w:r>
        <w:rPr>
          <w:rFonts w:hint="eastAsia" w:ascii="仿宋" w:hAnsi="仿宋" w:eastAsia="仿宋" w:cs="仿宋"/>
          <w:b/>
          <w:sz w:val="28"/>
          <w:szCs w:val="28"/>
          <w:highlight w:val="none"/>
          <w:u w:val="single"/>
        </w:rPr>
        <w:t>变</w:t>
      </w:r>
      <w:r>
        <w:rPr>
          <w:rFonts w:hint="eastAsia" w:ascii="仿宋" w:hAnsi="仿宋" w:eastAsia="仿宋" w:cs="仿宋"/>
          <w:b/>
          <w:bCs/>
          <w:kern w:val="1"/>
          <w:sz w:val="28"/>
          <w:szCs w:val="28"/>
          <w:highlight w:val="none"/>
          <w:u w:val="single"/>
        </w:rPr>
        <w:t xml:space="preserve">更其他管理人员承担 </w:t>
      </w:r>
      <w:r>
        <w:rPr>
          <w:rFonts w:hint="eastAsia" w:ascii="仿宋" w:hAnsi="仿宋" w:eastAsia="仿宋" w:cs="仿宋"/>
          <w:b/>
          <w:bCs/>
          <w:kern w:val="1"/>
          <w:sz w:val="28"/>
          <w:szCs w:val="28"/>
          <w:highlight w:val="none"/>
          <w:u w:val="single"/>
          <w:lang w:val="en-US" w:eastAsia="zh-CN"/>
        </w:rPr>
        <w:t>1000</w:t>
      </w:r>
      <w:r>
        <w:rPr>
          <w:rFonts w:hint="eastAsia" w:ascii="仿宋" w:hAnsi="仿宋" w:eastAsia="仿宋" w:cs="仿宋"/>
          <w:b/>
          <w:bCs/>
          <w:kern w:val="1"/>
          <w:sz w:val="28"/>
          <w:szCs w:val="28"/>
          <w:highlight w:val="none"/>
          <w:u w:val="single"/>
        </w:rPr>
        <w:t>元/人•次违约金。无论是否取得发包人批准同意，均需承担违约金，</w:t>
      </w:r>
      <w:r>
        <w:rPr>
          <w:rFonts w:hint="eastAsia" w:ascii="仿宋" w:hAnsi="仿宋" w:eastAsia="仿宋" w:cs="仿宋"/>
          <w:kern w:val="1"/>
          <w:sz w:val="28"/>
          <w:szCs w:val="28"/>
          <w:highlight w:val="none"/>
          <w:u w:val="single"/>
        </w:rPr>
        <w:t>且更换后的人员资历必须符合工程建设要求。</w:t>
      </w:r>
      <w:r>
        <w:rPr>
          <w:rFonts w:hint="eastAsia" w:ascii="仿宋" w:hAnsi="仿宋" w:eastAsia="仿宋" w:cs="仿宋"/>
          <w:kern w:val="1"/>
          <w:sz w:val="28"/>
          <w:szCs w:val="28"/>
          <w:highlight w:val="none"/>
        </w:rPr>
        <w:t>承包人主要施工管理人员擅自离开施工现场的违约责任：</w:t>
      </w:r>
      <w:r>
        <w:rPr>
          <w:rFonts w:hint="eastAsia" w:ascii="仿宋" w:hAnsi="仿宋" w:eastAsia="仿宋" w:cs="仿宋"/>
          <w:kern w:val="1"/>
          <w:sz w:val="28"/>
          <w:szCs w:val="28"/>
          <w:highlight w:val="none"/>
          <w:u w:val="single"/>
        </w:rPr>
        <w:t>主要施工管理人员每月在工程施工现场时间不少于 20 个日历天，</w:t>
      </w:r>
      <w:r>
        <w:rPr>
          <w:rFonts w:hint="eastAsia" w:ascii="仿宋" w:hAnsi="仿宋" w:eastAsia="仿宋" w:cs="仿宋"/>
          <w:b/>
          <w:kern w:val="1"/>
          <w:sz w:val="28"/>
          <w:szCs w:val="28"/>
          <w:highlight w:val="none"/>
          <w:u w:val="single"/>
        </w:rPr>
        <w:t xml:space="preserve">技术负责人每缺勤一次处罚 </w:t>
      </w:r>
      <w:r>
        <w:rPr>
          <w:rFonts w:hint="eastAsia" w:ascii="仿宋" w:hAnsi="仿宋" w:eastAsia="仿宋" w:cs="仿宋"/>
          <w:b/>
          <w:kern w:val="1"/>
          <w:sz w:val="28"/>
          <w:szCs w:val="28"/>
          <w:highlight w:val="none"/>
          <w:u w:val="single"/>
          <w:lang w:val="en-US" w:eastAsia="zh-CN"/>
        </w:rPr>
        <w:t>1000</w:t>
      </w:r>
      <w:r>
        <w:rPr>
          <w:rFonts w:hint="eastAsia" w:ascii="仿宋" w:hAnsi="仿宋" w:eastAsia="仿宋" w:cs="仿宋"/>
          <w:b/>
          <w:kern w:val="1"/>
          <w:sz w:val="28"/>
          <w:szCs w:val="28"/>
          <w:highlight w:val="none"/>
          <w:u w:val="single"/>
        </w:rPr>
        <w:t xml:space="preserve"> 元/人•次的违约金，专职安全员每缺勤一天处罚</w:t>
      </w:r>
      <w:r>
        <w:rPr>
          <w:rFonts w:hint="eastAsia" w:ascii="仿宋" w:hAnsi="仿宋" w:eastAsia="仿宋" w:cs="仿宋"/>
          <w:b/>
          <w:kern w:val="1"/>
          <w:sz w:val="28"/>
          <w:szCs w:val="28"/>
          <w:highlight w:val="none"/>
          <w:u w:val="single"/>
          <w:lang w:val="en-US" w:eastAsia="zh-CN"/>
        </w:rPr>
        <w:t xml:space="preserve"> 500 </w:t>
      </w:r>
      <w:r>
        <w:rPr>
          <w:rFonts w:hint="eastAsia" w:ascii="仿宋" w:hAnsi="仿宋" w:eastAsia="仿宋" w:cs="仿宋"/>
          <w:b/>
          <w:kern w:val="1"/>
          <w:sz w:val="28"/>
          <w:szCs w:val="28"/>
          <w:highlight w:val="none"/>
          <w:u w:val="single"/>
        </w:rPr>
        <w:t xml:space="preserve">元/人•次的违约金，其他管理人员每缺勤一天处罚 </w:t>
      </w:r>
      <w:r>
        <w:rPr>
          <w:rFonts w:hint="eastAsia" w:ascii="仿宋" w:hAnsi="仿宋" w:eastAsia="仿宋" w:cs="仿宋"/>
          <w:b/>
          <w:kern w:val="1"/>
          <w:sz w:val="28"/>
          <w:szCs w:val="28"/>
          <w:highlight w:val="none"/>
          <w:u w:val="single"/>
          <w:lang w:val="en-US" w:eastAsia="zh-CN"/>
        </w:rPr>
        <w:t>500</w:t>
      </w:r>
      <w:r>
        <w:rPr>
          <w:rFonts w:hint="eastAsia" w:ascii="仿宋" w:hAnsi="仿宋" w:eastAsia="仿宋" w:cs="仿宋"/>
          <w:b/>
          <w:kern w:val="1"/>
          <w:sz w:val="28"/>
          <w:szCs w:val="28"/>
          <w:highlight w:val="none"/>
          <w:u w:val="single"/>
        </w:rPr>
        <w:t xml:space="preserve"> 元/人•次的违约金</w:t>
      </w:r>
      <w:r>
        <w:rPr>
          <w:rFonts w:hint="eastAsia" w:ascii="仿宋" w:hAnsi="仿宋" w:eastAsia="仿宋" w:cs="仿宋"/>
          <w:kern w:val="1"/>
          <w:sz w:val="28"/>
          <w:szCs w:val="28"/>
          <w:highlight w:val="none"/>
          <w:u w:val="single"/>
        </w:rPr>
        <w:t>。</w:t>
      </w:r>
      <w:r>
        <w:rPr>
          <w:rFonts w:hint="eastAsia" w:ascii="仿宋" w:hAnsi="仿宋" w:eastAsia="仿宋" w:cs="仿宋"/>
          <w:b/>
          <w:sz w:val="28"/>
          <w:szCs w:val="28"/>
          <w:highlight w:val="none"/>
        </w:rPr>
        <w:t>（承包人不得以主要施工管理人员离职，生病为由拒绝支付违约金）。</w:t>
      </w:r>
    </w:p>
    <w:p w14:paraId="2CE90CC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u w:val="single"/>
        </w:rPr>
        <w:t>承包人承担上述违约给发包人造成的一切损失。上述违约金以汇款的方式，在做出违约处罚7日内上交到发包方指定账户，如未如期缴纳，将承担由此带来的的违约责任并补交由此产生的滞纳金。发包人有权从进度款或其他款项中直接扣除。</w:t>
      </w:r>
    </w:p>
    <w:p w14:paraId="69A5479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bookmarkStart w:id="665" w:name="_Toc297123492"/>
      <w:bookmarkEnd w:id="665"/>
      <w:bookmarkStart w:id="666" w:name="_Toc296346660"/>
      <w:bookmarkEnd w:id="666"/>
      <w:bookmarkStart w:id="667" w:name="_Toc297216151"/>
      <w:bookmarkEnd w:id="667"/>
      <w:bookmarkStart w:id="668" w:name="_Toc297120459"/>
      <w:bookmarkEnd w:id="668"/>
      <w:bookmarkStart w:id="669" w:name="_Toc304295523"/>
      <w:bookmarkEnd w:id="669"/>
      <w:bookmarkStart w:id="670" w:name="_Toc292559364"/>
      <w:bookmarkEnd w:id="670"/>
      <w:bookmarkStart w:id="671" w:name="_Toc292559869"/>
      <w:bookmarkEnd w:id="671"/>
      <w:bookmarkStart w:id="672" w:name="_Toc297048345"/>
      <w:bookmarkEnd w:id="672"/>
      <w:bookmarkStart w:id="673" w:name="_Toc296347158"/>
      <w:bookmarkEnd w:id="673"/>
      <w:bookmarkStart w:id="674" w:name="_Toc296503159"/>
      <w:bookmarkEnd w:id="674"/>
      <w:bookmarkStart w:id="675" w:name="_Toc296944498"/>
      <w:bookmarkEnd w:id="675"/>
      <w:bookmarkStart w:id="676" w:name="_Toc303539102"/>
      <w:bookmarkEnd w:id="676"/>
      <w:bookmarkStart w:id="677" w:name="_Toc296890987"/>
      <w:bookmarkEnd w:id="677"/>
      <w:bookmarkStart w:id="678" w:name="_Toc300934945"/>
      <w:bookmarkEnd w:id="678"/>
      <w:bookmarkStart w:id="679" w:name="_Toc312677988"/>
      <w:bookmarkEnd w:id="679"/>
      <w:bookmarkStart w:id="680" w:name="_Toc296891199"/>
      <w:bookmarkEnd w:id="680"/>
      <w:r>
        <w:rPr>
          <w:rFonts w:hint="eastAsia" w:ascii="仿宋" w:hAnsi="仿宋" w:eastAsia="仿宋" w:cs="仿宋"/>
          <w:kern w:val="1"/>
          <w:sz w:val="28"/>
          <w:szCs w:val="28"/>
          <w:highlight w:val="none"/>
        </w:rPr>
        <w:t>.4 分包</w:t>
      </w:r>
    </w:p>
    <w:p w14:paraId="181CC0A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bookmarkStart w:id="681" w:name="_Toc300934946"/>
      <w:bookmarkEnd w:id="681"/>
      <w:bookmarkStart w:id="682" w:name="_Toc312677989"/>
      <w:bookmarkEnd w:id="682"/>
      <w:bookmarkStart w:id="683" w:name="_Toc296890988"/>
      <w:bookmarkEnd w:id="683"/>
      <w:bookmarkStart w:id="684" w:name="_Toc304295524"/>
      <w:bookmarkEnd w:id="684"/>
      <w:bookmarkStart w:id="685" w:name="_Toc297216152"/>
      <w:bookmarkEnd w:id="685"/>
      <w:bookmarkStart w:id="686" w:name="_Toc296891200"/>
      <w:bookmarkEnd w:id="686"/>
      <w:bookmarkStart w:id="687" w:name="_Toc297123493"/>
      <w:bookmarkEnd w:id="687"/>
      <w:bookmarkStart w:id="688" w:name="_Toc292559870"/>
      <w:bookmarkEnd w:id="688"/>
      <w:bookmarkStart w:id="689" w:name="_Toc296503160"/>
      <w:bookmarkEnd w:id="689"/>
      <w:bookmarkStart w:id="690" w:name="_Toc303539103"/>
      <w:bookmarkEnd w:id="690"/>
      <w:bookmarkStart w:id="691" w:name="_Toc296347159"/>
      <w:bookmarkEnd w:id="691"/>
      <w:bookmarkStart w:id="692" w:name="_Toc318581158"/>
      <w:bookmarkEnd w:id="692"/>
      <w:bookmarkStart w:id="693" w:name="_Toc296346661"/>
      <w:bookmarkEnd w:id="693"/>
      <w:bookmarkStart w:id="694" w:name="_Toc297048346"/>
      <w:bookmarkEnd w:id="694"/>
      <w:bookmarkStart w:id="695" w:name="_Toc292559365"/>
      <w:bookmarkEnd w:id="695"/>
      <w:bookmarkStart w:id="696" w:name="_Toc297120460"/>
      <w:bookmarkEnd w:id="696"/>
      <w:bookmarkStart w:id="697" w:name="_Toc296944499"/>
      <w:bookmarkEnd w:id="697"/>
      <w:r>
        <w:rPr>
          <w:rFonts w:hint="eastAsia" w:ascii="仿宋" w:hAnsi="仿宋" w:eastAsia="仿宋" w:cs="仿宋"/>
          <w:kern w:val="1"/>
          <w:sz w:val="28"/>
          <w:szCs w:val="28"/>
          <w:highlight w:val="none"/>
        </w:rPr>
        <w:t>.4.1 分包的一般约定</w:t>
      </w:r>
    </w:p>
    <w:p w14:paraId="45A2BE6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禁止分包的工程包括：</w:t>
      </w:r>
      <w:r>
        <w:rPr>
          <w:rFonts w:hint="eastAsia" w:ascii="仿宋" w:hAnsi="仿宋" w:eastAsia="仿宋" w:cs="仿宋"/>
          <w:kern w:val="1"/>
          <w:sz w:val="28"/>
          <w:szCs w:val="28"/>
          <w:highlight w:val="none"/>
          <w:u w:val="single"/>
        </w:rPr>
        <w:t xml:space="preserve">不允许非法分包                 </w:t>
      </w:r>
      <w:r>
        <w:rPr>
          <w:rFonts w:hint="eastAsia" w:ascii="仿宋" w:hAnsi="仿宋" w:eastAsia="仿宋" w:cs="仿宋"/>
          <w:kern w:val="1"/>
          <w:sz w:val="28"/>
          <w:szCs w:val="28"/>
          <w:highlight w:val="none"/>
        </w:rPr>
        <w:t>。</w:t>
      </w:r>
    </w:p>
    <w:p w14:paraId="293D849B">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主体结构、关键性工作的范围：</w:t>
      </w:r>
      <w:r>
        <w:rPr>
          <w:rFonts w:hint="eastAsia" w:ascii="仿宋" w:hAnsi="仿宋" w:eastAsia="仿宋" w:cs="仿宋"/>
          <w:kern w:val="1"/>
          <w:sz w:val="28"/>
          <w:szCs w:val="28"/>
          <w:highlight w:val="none"/>
          <w:u w:val="single"/>
        </w:rPr>
        <w:t xml:space="preserve">不允许非法分包       </w:t>
      </w:r>
      <w:r>
        <w:rPr>
          <w:rFonts w:hint="eastAsia" w:ascii="仿宋" w:hAnsi="仿宋" w:eastAsia="仿宋" w:cs="仿宋"/>
          <w:kern w:val="1"/>
          <w:sz w:val="28"/>
          <w:szCs w:val="28"/>
          <w:highlight w:val="none"/>
        </w:rPr>
        <w:t>。</w:t>
      </w:r>
      <w:bookmarkStart w:id="698" w:name="_Toc296503161"/>
      <w:bookmarkEnd w:id="698"/>
      <w:bookmarkStart w:id="699" w:name="_Toc296890989"/>
      <w:bookmarkEnd w:id="699"/>
      <w:bookmarkStart w:id="700" w:name="_Toc296347160"/>
      <w:bookmarkEnd w:id="700"/>
      <w:bookmarkStart w:id="701" w:name="_Toc303539104"/>
      <w:bookmarkEnd w:id="701"/>
      <w:bookmarkStart w:id="702" w:name="_Toc297120461"/>
      <w:bookmarkEnd w:id="702"/>
      <w:bookmarkStart w:id="703" w:name="_Toc297216153"/>
      <w:bookmarkEnd w:id="703"/>
      <w:bookmarkStart w:id="704" w:name="_Toc297048347"/>
      <w:bookmarkEnd w:id="704"/>
      <w:bookmarkStart w:id="705" w:name="_Toc296891201"/>
      <w:bookmarkEnd w:id="705"/>
      <w:bookmarkStart w:id="706" w:name="_Toc300934947"/>
      <w:bookmarkEnd w:id="706"/>
      <w:bookmarkStart w:id="707" w:name="_Toc304295525"/>
      <w:bookmarkEnd w:id="707"/>
      <w:bookmarkStart w:id="708" w:name="_Toc296944500"/>
      <w:bookmarkEnd w:id="708"/>
      <w:bookmarkStart w:id="709" w:name="_Toc296346662"/>
      <w:bookmarkEnd w:id="709"/>
      <w:bookmarkStart w:id="710" w:name="_Toc297123494"/>
      <w:bookmarkEnd w:id="710"/>
    </w:p>
    <w:p w14:paraId="62CFB68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bookmarkStart w:id="711" w:name="_Toc312677990"/>
      <w:bookmarkEnd w:id="711"/>
      <w:bookmarkStart w:id="712" w:name="_Toc318581159"/>
      <w:bookmarkEnd w:id="712"/>
      <w:r>
        <w:rPr>
          <w:rFonts w:hint="eastAsia" w:ascii="仿宋" w:hAnsi="仿宋" w:eastAsia="仿宋" w:cs="仿宋"/>
          <w:kern w:val="1"/>
          <w:sz w:val="28"/>
          <w:szCs w:val="28"/>
          <w:highlight w:val="none"/>
        </w:rPr>
        <w:t>.4.2分包的确定</w:t>
      </w:r>
    </w:p>
    <w:p w14:paraId="284D56E7">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允许分包的专业工程包括：</w:t>
      </w:r>
      <w:r>
        <w:rPr>
          <w:rFonts w:hint="eastAsia" w:ascii="仿宋" w:hAnsi="仿宋" w:eastAsia="仿宋" w:cs="仿宋"/>
          <w:kern w:val="1"/>
          <w:sz w:val="28"/>
          <w:szCs w:val="28"/>
          <w:highlight w:val="none"/>
          <w:u w:val="single"/>
        </w:rPr>
        <w:t xml:space="preserve">不允许非法分包             </w:t>
      </w:r>
      <w:r>
        <w:rPr>
          <w:rFonts w:hint="eastAsia" w:ascii="仿宋" w:hAnsi="仿宋" w:eastAsia="仿宋" w:cs="仿宋"/>
          <w:kern w:val="1"/>
          <w:sz w:val="28"/>
          <w:szCs w:val="28"/>
          <w:highlight w:val="none"/>
        </w:rPr>
        <w:t>。</w:t>
      </w:r>
    </w:p>
    <w:p w14:paraId="3DA451B9">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其他关于分包的约定：</w:t>
      </w:r>
      <w:r>
        <w:rPr>
          <w:rFonts w:hint="eastAsia" w:ascii="仿宋" w:hAnsi="仿宋" w:eastAsia="仿宋" w:cs="仿宋"/>
          <w:kern w:val="1"/>
          <w:sz w:val="28"/>
          <w:szCs w:val="28"/>
          <w:highlight w:val="none"/>
          <w:u w:val="single"/>
        </w:rPr>
        <w:t xml:space="preserve">     不允许非法分包              </w:t>
      </w:r>
      <w:r>
        <w:rPr>
          <w:rFonts w:hint="eastAsia" w:ascii="仿宋" w:hAnsi="仿宋" w:eastAsia="仿宋" w:cs="仿宋"/>
          <w:kern w:val="1"/>
          <w:sz w:val="28"/>
          <w:szCs w:val="28"/>
          <w:highlight w:val="none"/>
        </w:rPr>
        <w:t>。</w:t>
      </w:r>
    </w:p>
    <w:p w14:paraId="63BDBD6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3.4.3 分包合同价款</w:t>
      </w:r>
    </w:p>
    <w:p w14:paraId="7115167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关于分包合同价款支付的约定：</w:t>
      </w:r>
      <w:r>
        <w:rPr>
          <w:rFonts w:hint="eastAsia" w:ascii="仿宋" w:hAnsi="仿宋" w:eastAsia="仿宋" w:cs="仿宋"/>
          <w:kern w:val="1"/>
          <w:sz w:val="28"/>
          <w:szCs w:val="28"/>
          <w:highlight w:val="none"/>
          <w:u w:val="single"/>
        </w:rPr>
        <w:t xml:space="preserve">  不允许非法分包    </w:t>
      </w:r>
      <w:r>
        <w:rPr>
          <w:rFonts w:hint="eastAsia" w:ascii="仿宋" w:hAnsi="仿宋" w:eastAsia="仿宋" w:cs="仿宋"/>
          <w:kern w:val="1"/>
          <w:sz w:val="28"/>
          <w:szCs w:val="28"/>
          <w:highlight w:val="none"/>
        </w:rPr>
        <w:t>。</w:t>
      </w:r>
    </w:p>
    <w:p w14:paraId="6B605FC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3.5 工程照管与成品、半成品保护</w:t>
      </w:r>
    </w:p>
    <w:p w14:paraId="6A3C1A3E">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承包人负责照管工程及工程相关的材料、工程设备的起始时间：</w:t>
      </w:r>
      <w:r>
        <w:rPr>
          <w:rFonts w:hint="eastAsia" w:ascii="仿宋" w:hAnsi="仿宋" w:eastAsia="仿宋" w:cs="仿宋"/>
          <w:kern w:val="1"/>
          <w:sz w:val="28"/>
          <w:szCs w:val="28"/>
          <w:highlight w:val="none"/>
          <w:u w:val="single"/>
        </w:rPr>
        <w:t>进驻施工现场之日</w:t>
      </w:r>
      <w:r>
        <w:rPr>
          <w:rFonts w:hint="eastAsia" w:ascii="仿宋" w:hAnsi="仿宋" w:eastAsia="仿宋" w:cs="仿宋"/>
          <w:kern w:val="1"/>
          <w:sz w:val="28"/>
          <w:szCs w:val="28"/>
          <w:highlight w:val="none"/>
        </w:rPr>
        <w:t>。</w:t>
      </w:r>
    </w:p>
    <w:p w14:paraId="70DEBEB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3.6 履约担保</w:t>
      </w:r>
    </w:p>
    <w:p w14:paraId="7BFC670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承包人是否提供履约担保：</w:t>
      </w:r>
      <w:r>
        <w:rPr>
          <w:rFonts w:hint="eastAsia" w:ascii="仿宋" w:hAnsi="仿宋" w:eastAsia="仿宋" w:cs="仿宋"/>
          <w:kern w:val="1"/>
          <w:sz w:val="28"/>
          <w:szCs w:val="28"/>
          <w:highlight w:val="none"/>
          <w:u w:val="single"/>
        </w:rPr>
        <w:t>提供。</w:t>
      </w:r>
      <w:r>
        <w:rPr>
          <w:rFonts w:hint="eastAsia" w:ascii="仿宋" w:hAnsi="仿宋" w:eastAsia="仿宋" w:cs="仿宋"/>
          <w:kern w:val="1"/>
          <w:sz w:val="28"/>
          <w:szCs w:val="28"/>
          <w:highlight w:val="none"/>
        </w:rPr>
        <w:t xml:space="preserve">  </w:t>
      </w:r>
    </w:p>
    <w:p w14:paraId="6296C40C">
      <w:pPr>
        <w:pStyle w:val="49"/>
        <w:widowControl w:val="0"/>
        <w:spacing w:before="0" w:beforeAutospacing="0" w:after="0" w:afterAutospacing="0" w:line="360" w:lineRule="auto"/>
        <w:ind w:firstLine="562" w:firstLineChars="200"/>
        <w:jc w:val="both"/>
        <w:rPr>
          <w:rFonts w:hint="eastAsia" w:ascii="仿宋" w:hAnsi="仿宋" w:eastAsia="仿宋" w:cs="仿宋"/>
          <w:sz w:val="28"/>
          <w:szCs w:val="28"/>
          <w:highlight w:val="none"/>
        </w:rPr>
      </w:pPr>
      <w:r>
        <w:rPr>
          <w:rFonts w:hint="eastAsia" w:ascii="仿宋" w:hAnsi="仿宋" w:eastAsia="仿宋" w:cs="仿宋"/>
          <w:kern w:val="1"/>
          <w:sz w:val="28"/>
          <w:szCs w:val="28"/>
          <w:highlight w:val="none"/>
        </w:rPr>
        <w:t>履约担保的形式为：</w:t>
      </w:r>
      <w:r>
        <w:rPr>
          <w:rFonts w:hint="eastAsia" w:ascii="仿宋" w:hAnsi="仿宋" w:eastAsia="仿宋" w:cs="仿宋"/>
          <w:b w:val="0"/>
          <w:bCs/>
          <w:snapToGrid w:val="0"/>
          <w:sz w:val="28"/>
          <w:szCs w:val="28"/>
          <w:highlight w:val="none"/>
          <w:u w:val="single"/>
          <w:lang w:val="en-US" w:eastAsia="zh-CN"/>
        </w:rPr>
        <w:t>1.</w:t>
      </w:r>
      <w:r>
        <w:rPr>
          <w:rFonts w:hint="eastAsia" w:ascii="仿宋" w:hAnsi="仿宋" w:eastAsia="仿宋" w:cs="仿宋"/>
          <w:b w:val="0"/>
          <w:bCs/>
          <w:snapToGrid w:val="0"/>
          <w:sz w:val="28"/>
          <w:szCs w:val="28"/>
          <w:highlight w:val="none"/>
          <w:u w:val="single"/>
        </w:rPr>
        <w:t xml:space="preserve">转账 </w:t>
      </w:r>
      <w:r>
        <w:rPr>
          <w:rFonts w:hint="eastAsia" w:ascii="仿宋" w:hAnsi="仿宋" w:eastAsia="仿宋" w:cs="仿宋"/>
          <w:b w:val="0"/>
          <w:bCs/>
          <w:snapToGrid w:val="0"/>
          <w:sz w:val="28"/>
          <w:szCs w:val="28"/>
          <w:highlight w:val="none"/>
          <w:u w:val="single"/>
          <w:lang w:val="en-US" w:eastAsia="zh-CN"/>
        </w:rPr>
        <w:t>2.</w:t>
      </w:r>
      <w:r>
        <w:rPr>
          <w:rFonts w:hint="eastAsia" w:ascii="仿宋" w:hAnsi="仿宋" w:eastAsia="仿宋" w:cs="仿宋"/>
          <w:b w:val="0"/>
          <w:bCs/>
          <w:snapToGrid w:val="0"/>
          <w:sz w:val="28"/>
          <w:szCs w:val="28"/>
          <w:highlight w:val="none"/>
          <w:u w:val="single"/>
        </w:rPr>
        <w:t xml:space="preserve">电汇 </w:t>
      </w:r>
      <w:r>
        <w:rPr>
          <w:rFonts w:hint="eastAsia" w:ascii="仿宋" w:hAnsi="仿宋" w:eastAsia="仿宋" w:cs="仿宋"/>
          <w:b w:val="0"/>
          <w:bCs/>
          <w:snapToGrid w:val="0"/>
          <w:sz w:val="28"/>
          <w:szCs w:val="28"/>
          <w:highlight w:val="none"/>
          <w:u w:val="single"/>
          <w:lang w:val="en-US" w:eastAsia="zh-CN"/>
        </w:rPr>
        <w:t>3.</w:t>
      </w:r>
      <w:r>
        <w:rPr>
          <w:rFonts w:hint="eastAsia" w:ascii="仿宋" w:hAnsi="仿宋" w:eastAsia="仿宋" w:cs="仿宋"/>
          <w:b w:val="0"/>
          <w:bCs/>
          <w:snapToGrid w:val="0"/>
          <w:sz w:val="28"/>
          <w:szCs w:val="28"/>
          <w:highlight w:val="none"/>
          <w:u w:val="single"/>
        </w:rPr>
        <w:t xml:space="preserve">网银支付 </w:t>
      </w:r>
      <w:r>
        <w:rPr>
          <w:rFonts w:hint="eastAsia" w:ascii="仿宋" w:hAnsi="仿宋" w:eastAsia="仿宋" w:cs="仿宋"/>
          <w:b w:val="0"/>
          <w:bCs/>
          <w:snapToGrid w:val="0"/>
          <w:sz w:val="28"/>
          <w:szCs w:val="28"/>
          <w:highlight w:val="none"/>
          <w:u w:val="single"/>
          <w:lang w:val="en-US" w:eastAsia="zh-CN"/>
        </w:rPr>
        <w:t>4.</w:t>
      </w:r>
      <w:r>
        <w:rPr>
          <w:rFonts w:hint="eastAsia" w:ascii="仿宋" w:hAnsi="仿宋" w:eastAsia="仿宋" w:cs="仿宋"/>
          <w:b w:val="0"/>
          <w:bCs/>
          <w:snapToGrid w:val="0"/>
          <w:sz w:val="28"/>
          <w:szCs w:val="28"/>
          <w:highlight w:val="none"/>
          <w:u w:val="single"/>
        </w:rPr>
        <w:t xml:space="preserve">保函 </w:t>
      </w:r>
      <w:r>
        <w:rPr>
          <w:rFonts w:hint="eastAsia" w:ascii="仿宋" w:hAnsi="仿宋" w:eastAsia="仿宋" w:cs="仿宋"/>
          <w:b w:val="0"/>
          <w:bCs/>
          <w:snapToGrid w:val="0"/>
          <w:sz w:val="28"/>
          <w:szCs w:val="28"/>
          <w:highlight w:val="none"/>
          <w:u w:val="single"/>
          <w:lang w:val="en-US" w:eastAsia="zh-CN"/>
        </w:rPr>
        <w:t>5.</w:t>
      </w:r>
      <w:r>
        <w:rPr>
          <w:rFonts w:hint="eastAsia" w:ascii="仿宋" w:hAnsi="仿宋" w:eastAsia="仿宋" w:cs="仿宋"/>
          <w:b w:val="0"/>
          <w:bCs/>
          <w:snapToGrid w:val="0"/>
          <w:sz w:val="28"/>
          <w:szCs w:val="28"/>
          <w:highlight w:val="none"/>
          <w:u w:val="single"/>
        </w:rPr>
        <w:t>保证保险</w:t>
      </w:r>
    </w:p>
    <w:p w14:paraId="0B02030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履约担保的金额：</w:t>
      </w:r>
      <w:r>
        <w:rPr>
          <w:rFonts w:hint="eastAsia" w:ascii="仿宋" w:hAnsi="仿宋" w:eastAsia="仿宋" w:cs="仿宋"/>
          <w:kern w:val="1"/>
          <w:sz w:val="28"/>
          <w:szCs w:val="28"/>
          <w:highlight w:val="none"/>
          <w:u w:val="single"/>
        </w:rPr>
        <w:t>本项目履约担保金额为中标价的百分之二（2%）。</w:t>
      </w:r>
    </w:p>
    <w:p w14:paraId="497488E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①采用转账、网银支付担保的，中标人在中标通知书发出后至合同签订前，必须办结完成从供应商基本账户所有转账手续（以采购人收到款额凭证载明的日期为准）；</w:t>
      </w:r>
    </w:p>
    <w:p w14:paraId="729B7C7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②</w:t>
      </w:r>
      <w:r>
        <w:rPr>
          <w:rFonts w:hint="eastAsia" w:ascii="仿宋" w:hAnsi="仿宋" w:eastAsia="仿宋" w:cs="仿宋"/>
          <w:b/>
          <w:kern w:val="1"/>
          <w:sz w:val="28"/>
          <w:szCs w:val="28"/>
          <w:highlight w:val="none"/>
        </w:rPr>
        <w:t>采用银行保函担保的，中标人在中标通知书发出后至合同签订前，向采购人递交办结的大于施工工期的不可撤销见索即付的银行保函（以采购人收到保函的日期为准）</w:t>
      </w:r>
      <w:r>
        <w:rPr>
          <w:rFonts w:hint="eastAsia" w:ascii="仿宋" w:hAnsi="仿宋" w:eastAsia="仿宋" w:cs="仿宋"/>
          <w:kern w:val="1"/>
          <w:sz w:val="28"/>
          <w:szCs w:val="28"/>
          <w:highlight w:val="none"/>
        </w:rPr>
        <w:t>；</w:t>
      </w:r>
    </w:p>
    <w:p w14:paraId="2A22BEF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3、提交时间：在上述规定时间内提交。否则，采购人有权取消其中标资格，投标保证金不予退还，由此造成的损失由中标人承担。采购人保留继续追究中标人赔偿的权利。</w:t>
      </w:r>
    </w:p>
    <w:p w14:paraId="4BF02D8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4、退还方式及时间：①采用转账的，项目范围内全部工程竣工验收合格</w:t>
      </w:r>
      <w:r>
        <w:rPr>
          <w:rFonts w:hint="eastAsia" w:ascii="仿宋" w:hAnsi="仿宋" w:eastAsia="仿宋" w:cs="仿宋"/>
          <w:kern w:val="1"/>
          <w:sz w:val="28"/>
          <w:szCs w:val="28"/>
          <w:highlight w:val="none"/>
          <w:lang w:eastAsia="zh-CN"/>
        </w:rPr>
        <w:t>一次性</w:t>
      </w:r>
      <w:r>
        <w:rPr>
          <w:rFonts w:hint="eastAsia" w:ascii="仿宋" w:hAnsi="仿宋" w:eastAsia="仿宋" w:cs="仿宋"/>
          <w:kern w:val="1"/>
          <w:sz w:val="28"/>
          <w:szCs w:val="28"/>
          <w:highlight w:val="none"/>
        </w:rPr>
        <w:t>退还。②</w:t>
      </w:r>
      <w:r>
        <w:rPr>
          <w:rFonts w:hint="eastAsia" w:ascii="仿宋" w:hAnsi="仿宋" w:eastAsia="仿宋" w:cs="仿宋"/>
          <w:b/>
          <w:kern w:val="1"/>
          <w:sz w:val="28"/>
          <w:szCs w:val="28"/>
          <w:highlight w:val="none"/>
        </w:rPr>
        <w:t>采用银行保函的，保函有效期自开立之日起至施工合同约定的缺陷责任期，追偿相关违约金后保函失效。</w:t>
      </w:r>
    </w:p>
    <w:p w14:paraId="417BBCA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5、采购人账户信息：</w:t>
      </w:r>
    </w:p>
    <w:p w14:paraId="024EB9D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开户名称：</w:t>
      </w:r>
    </w:p>
    <w:p w14:paraId="552F039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开户银行：</w:t>
      </w:r>
    </w:p>
    <w:p w14:paraId="7F75662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银行账号：</w:t>
      </w:r>
    </w:p>
    <w:p w14:paraId="58D929C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采购人依法定或约定事由解除本合同的，有权没收履约保证金。</w:t>
      </w:r>
    </w:p>
    <w:p w14:paraId="2E82D54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6、出具银行保函的银行必须为国有商业银行或股份制商业银行的支行及其以上级别银行。如遇工程延期超出原履约担保有效期，承包人应向担保银行申请重新开具保函或将原保函有效期延长（为避免歧义，不论工程延期的原因为何，只要工程出现延期情况，承包人均应向担保银行申请重新开具保函、保险或将原保函、保险有效期延长）。出具履约担保（包括延期）所需费用由承包人自行承担。</w:t>
      </w:r>
    </w:p>
    <w:p w14:paraId="259FE4E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1"/>
          <w:sz w:val="28"/>
          <w:szCs w:val="28"/>
          <w:highlight w:val="none"/>
        </w:rPr>
        <w:t>凡出现履约保证金不足额之情形，承包人应在 10 日内补足，否则，发包人有权单方面解除本合同，并没收履约保证金（不足部分，由承包人补足、支付发包人），承包人已完工程按完成合格工程量的80%予以结算。</w:t>
      </w:r>
    </w:p>
    <w:p w14:paraId="267641B3">
      <w:pPr>
        <w:spacing w:line="360" w:lineRule="auto"/>
        <w:ind w:firstLine="560" w:firstLineChars="200"/>
        <w:rPr>
          <w:rFonts w:hint="eastAsia" w:ascii="仿宋" w:hAnsi="仿宋" w:eastAsia="仿宋" w:cs="仿宋"/>
          <w:kern w:val="1"/>
          <w:sz w:val="28"/>
          <w:szCs w:val="28"/>
          <w:highlight w:val="none"/>
        </w:rPr>
      </w:pPr>
      <w:bookmarkStart w:id="713" w:name="_Toc351203636"/>
      <w:bookmarkEnd w:id="713"/>
      <w:r>
        <w:rPr>
          <w:rFonts w:hint="eastAsia" w:ascii="仿宋" w:hAnsi="仿宋" w:eastAsia="仿宋" w:cs="仿宋"/>
          <w:kern w:val="1"/>
          <w:sz w:val="28"/>
          <w:szCs w:val="28"/>
          <w:highlight w:val="none"/>
        </w:rPr>
        <w:t>4</w:t>
      </w:r>
      <w:bookmarkStart w:id="714" w:name="_Toc267251413"/>
      <w:bookmarkEnd w:id="714"/>
      <w:bookmarkStart w:id="715" w:name="_Toc292559871"/>
      <w:bookmarkEnd w:id="715"/>
      <w:bookmarkStart w:id="716" w:name="_Toc296503162"/>
      <w:bookmarkEnd w:id="716"/>
      <w:bookmarkStart w:id="717" w:name="_Toc296347161"/>
      <w:bookmarkEnd w:id="717"/>
      <w:bookmarkStart w:id="718" w:name="_Toc296346663"/>
      <w:bookmarkEnd w:id="718"/>
      <w:bookmarkStart w:id="719" w:name="_Toc296891202"/>
      <w:bookmarkEnd w:id="719"/>
      <w:bookmarkStart w:id="720" w:name="_Toc296944501"/>
      <w:bookmarkEnd w:id="720"/>
      <w:bookmarkStart w:id="721" w:name="_Toc292559366"/>
      <w:bookmarkEnd w:id="721"/>
      <w:bookmarkStart w:id="722" w:name="_Toc297048348"/>
      <w:bookmarkEnd w:id="722"/>
      <w:bookmarkStart w:id="723" w:name="_Toc297120462"/>
      <w:bookmarkEnd w:id="723"/>
      <w:bookmarkStart w:id="724" w:name="_Toc296890990"/>
      <w:bookmarkEnd w:id="724"/>
      <w:r>
        <w:rPr>
          <w:rFonts w:hint="eastAsia" w:ascii="仿宋" w:hAnsi="仿宋" w:eastAsia="仿宋" w:cs="仿宋"/>
          <w:kern w:val="1"/>
          <w:sz w:val="28"/>
          <w:szCs w:val="28"/>
          <w:highlight w:val="none"/>
        </w:rPr>
        <w:t>. 监理人</w:t>
      </w:r>
    </w:p>
    <w:p w14:paraId="4D25FED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4.1监理人的一般规定</w:t>
      </w:r>
    </w:p>
    <w:p w14:paraId="0C00680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关于监理人的监理内容：包括但不限于以下内容：</w:t>
      </w:r>
    </w:p>
    <w:p w14:paraId="07CE2C5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（1）工程质量控制：</w:t>
      </w:r>
      <w:r>
        <w:rPr>
          <w:rFonts w:hint="eastAsia" w:ascii="仿宋" w:hAnsi="仿宋" w:eastAsia="仿宋" w:cs="仿宋"/>
          <w:kern w:val="1"/>
          <w:sz w:val="28"/>
          <w:szCs w:val="28"/>
          <w:highlight w:val="none"/>
          <w:u w:val="single"/>
        </w:rPr>
        <w:t>审查承包人的质量保证体系和控制措施，依据施工承包合同、设计文件、技术规范与质量检验验收标准，对施工质量进行全面控制和检查。按有关规定对工程质量进行检查、签证和验收。协助发包人调查处理工程质量事故等。</w:t>
      </w:r>
    </w:p>
    <w:p w14:paraId="23DED6D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（2）工程进度控制：</w:t>
      </w:r>
      <w:r>
        <w:rPr>
          <w:rFonts w:hint="eastAsia" w:ascii="仿宋" w:hAnsi="仿宋" w:eastAsia="仿宋" w:cs="仿宋"/>
          <w:kern w:val="1"/>
          <w:sz w:val="28"/>
          <w:szCs w:val="28"/>
          <w:highlight w:val="none"/>
          <w:u w:val="single"/>
        </w:rPr>
        <w:t>审查承包人提交的工程进度计划并提交发包人批准，以此作为工程进度控制的依据，督促承包人采取切实措施实现合同工期要求。</w:t>
      </w:r>
    </w:p>
    <w:p w14:paraId="1505685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（3）工程投资控制：</w:t>
      </w:r>
      <w:r>
        <w:rPr>
          <w:rFonts w:hint="eastAsia" w:ascii="仿宋" w:hAnsi="仿宋" w:eastAsia="仿宋" w:cs="仿宋"/>
          <w:kern w:val="1"/>
          <w:sz w:val="28"/>
          <w:szCs w:val="28"/>
          <w:highlight w:val="none"/>
          <w:u w:val="single"/>
        </w:rPr>
        <w:t>审核承包人完成的工程量和价款，签署付款建议；对合同变更或增加项目，</w:t>
      </w:r>
      <w:r>
        <w:rPr>
          <w:rFonts w:hint="eastAsia" w:ascii="仿宋" w:hAnsi="仿宋" w:eastAsia="仿宋" w:cs="仿宋"/>
          <w:b/>
          <w:kern w:val="1"/>
          <w:sz w:val="28"/>
          <w:szCs w:val="28"/>
          <w:highlight w:val="none"/>
          <w:u w:val="single"/>
        </w:rPr>
        <w:t>按照本合同有效签证约定</w:t>
      </w:r>
      <w:r>
        <w:rPr>
          <w:rFonts w:hint="eastAsia" w:ascii="仿宋" w:hAnsi="仿宋" w:eastAsia="仿宋" w:cs="仿宋"/>
          <w:kern w:val="1"/>
          <w:sz w:val="28"/>
          <w:szCs w:val="28"/>
          <w:highlight w:val="none"/>
          <w:u w:val="single"/>
        </w:rPr>
        <w:t>提出初审意见，报发包人审批确定。受理索赔申请，进行索赔调查，提出处理意见等。</w:t>
      </w:r>
    </w:p>
    <w:p w14:paraId="27CC6851">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（4）施工安全监督：</w:t>
      </w:r>
      <w:r>
        <w:rPr>
          <w:rFonts w:hint="eastAsia" w:ascii="仿宋" w:hAnsi="仿宋" w:eastAsia="仿宋" w:cs="仿宋"/>
          <w:kern w:val="1"/>
          <w:sz w:val="28"/>
          <w:szCs w:val="28"/>
          <w:highlight w:val="none"/>
          <w:u w:val="single"/>
        </w:rPr>
        <w:t>督促并检查承包人建立施工安全体系，完善安全措施、劳动防护和环境保护设施等，整个施工过程中定期和不定期检查、突击抽查安全施工和设备安全运行，发现安全事故隐患时有权直接下达停工令等。</w:t>
      </w:r>
    </w:p>
    <w:p w14:paraId="2F4B25C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（5）合同管理：</w:t>
      </w:r>
      <w:r>
        <w:rPr>
          <w:rFonts w:hint="eastAsia" w:ascii="仿宋" w:hAnsi="仿宋" w:eastAsia="仿宋" w:cs="仿宋"/>
          <w:kern w:val="1"/>
          <w:sz w:val="28"/>
          <w:szCs w:val="28"/>
          <w:highlight w:val="none"/>
          <w:u w:val="single"/>
        </w:rPr>
        <w:t>项目监理机构应依据建设工程监理合同约定进行施工合同管理,处理工程暂停及复工、工程变更、索赔及施工合同争议、解除等事宜。</w:t>
      </w:r>
    </w:p>
    <w:p w14:paraId="44E5859A">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（6）档案资料管理：</w:t>
      </w:r>
      <w:r>
        <w:rPr>
          <w:rFonts w:hint="eastAsia" w:ascii="仿宋" w:hAnsi="仿宋" w:eastAsia="仿宋" w:cs="仿宋"/>
          <w:kern w:val="1"/>
          <w:sz w:val="28"/>
          <w:szCs w:val="28"/>
          <w:highlight w:val="none"/>
          <w:u w:val="single"/>
        </w:rPr>
        <w:t>对工程资料及档案及时进行整编，并在工程竣工验收时移交发包人。资料的归档和备案必须按照当地建设行政主管部门的规定执行，并承担此规定中的所有权力、义务和责任（包括处罚）。</w:t>
      </w:r>
    </w:p>
    <w:p w14:paraId="0A06CBB9">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（7）现场文明施工管理、协调工作：</w:t>
      </w:r>
      <w:r>
        <w:rPr>
          <w:rFonts w:hint="eastAsia" w:ascii="仿宋" w:hAnsi="仿宋" w:eastAsia="仿宋" w:cs="仿宋"/>
          <w:kern w:val="1"/>
          <w:sz w:val="28"/>
          <w:szCs w:val="28"/>
          <w:highlight w:val="none"/>
          <w:u w:val="single"/>
        </w:rPr>
        <w:t>全方位监督管理施工现场，协调发包人与承包人的相互配合关系，编发会议纪要并检查落实等。</w:t>
      </w:r>
    </w:p>
    <w:p w14:paraId="0F83FBB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（8）督促发包人按施工承包合同的规定落实必须提供的施工条件，检查工程承包人的</w:t>
      </w:r>
      <w:r>
        <w:rPr>
          <w:rFonts w:hint="eastAsia" w:ascii="仿宋" w:hAnsi="仿宋" w:eastAsia="仿宋" w:cs="仿宋"/>
          <w:kern w:val="1"/>
          <w:sz w:val="28"/>
          <w:szCs w:val="28"/>
          <w:highlight w:val="none"/>
          <w:u w:val="single"/>
        </w:rPr>
        <w:t>开工准备工作（包括施工安全体系），具备开工条件后，征得发包人同意，签发开工通知。</w:t>
      </w:r>
    </w:p>
    <w:p w14:paraId="7A8724D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（9）审查承包人递交的施工组织设计、计划、临建工程布置等。</w:t>
      </w:r>
    </w:p>
    <w:p w14:paraId="05D53DE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（10）研究、讨论、答复承包人提出的建议和意见。</w:t>
      </w:r>
    </w:p>
    <w:p w14:paraId="336F5C0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（11）按有关规定进行验收，核查、签证承包人编制的竣工图纸和资料等。</w:t>
      </w:r>
    </w:p>
    <w:p w14:paraId="2D11F2E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（12）发包人授权的其他监理内容，具体按监理合同执行。</w:t>
      </w:r>
    </w:p>
    <w:p w14:paraId="0D4F25F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关于监理人的监理权限：</w:t>
      </w:r>
      <w:r>
        <w:rPr>
          <w:rFonts w:hint="eastAsia" w:ascii="仿宋" w:hAnsi="仿宋" w:eastAsia="仿宋" w:cs="仿宋"/>
          <w:kern w:val="1"/>
          <w:sz w:val="28"/>
          <w:szCs w:val="28"/>
          <w:highlight w:val="none"/>
          <w:u w:val="single"/>
        </w:rPr>
        <w:t>工程建设监理合同授予监理人的所有权利，即按监理合同内容要求，依据监理规范对工程的质量、进度、安全措施进行监督和控制，并协调参与项目的各施工单位关系。但监理人需要取得发包人批准才能行使以下权限：</w:t>
      </w:r>
    </w:p>
    <w:p w14:paraId="2941128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(1)单方面确定合同变更、增加项目；</w:t>
      </w:r>
    </w:p>
    <w:p w14:paraId="60F0E35C">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(2)向承包人支付的各种款项的签付；</w:t>
      </w:r>
    </w:p>
    <w:p w14:paraId="37D99E0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(3)因某一合同事件，需要顺延工期或增加工程价款；</w:t>
      </w:r>
    </w:p>
    <w:p w14:paraId="5FEBBF31">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(4)任何作为结算依据的工程量、工程综合单价的确认；</w:t>
      </w:r>
    </w:p>
    <w:p w14:paraId="24BC6C5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(5)开工、暂停工程施工、复工指令的下达等。</w:t>
      </w:r>
    </w:p>
    <w:p w14:paraId="7EC7D95D">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关于监理人在施工现场的办公场所、生活场所的提供和费用承担的约定：</w:t>
      </w:r>
      <w:r>
        <w:rPr>
          <w:rFonts w:hint="eastAsia" w:ascii="仿宋" w:hAnsi="仿宋" w:eastAsia="仿宋" w:cs="仿宋"/>
          <w:kern w:val="1"/>
          <w:sz w:val="28"/>
          <w:szCs w:val="28"/>
          <w:highlight w:val="none"/>
          <w:u w:val="single"/>
        </w:rPr>
        <w:t>监理人在施工现场的办公场所、生活场所由承包人提供，所发生的费用由承包人承担。</w:t>
      </w:r>
    </w:p>
    <w:p w14:paraId="12CB7C6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4.2 监理人员</w:t>
      </w:r>
    </w:p>
    <w:p w14:paraId="66BD59A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总监理工程师：</w:t>
      </w:r>
    </w:p>
    <w:p w14:paraId="4C65D8B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姓    名：</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72EBE3F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职    务：</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2D6E4DA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监理工程师执业资格证书号：</w:t>
      </w:r>
      <w:r>
        <w:rPr>
          <w:rFonts w:hint="eastAsia" w:ascii="仿宋" w:hAnsi="仿宋" w:eastAsia="仿宋" w:cs="仿宋"/>
          <w:kern w:val="1"/>
          <w:sz w:val="28"/>
          <w:szCs w:val="28"/>
          <w:highlight w:val="none"/>
          <w:u w:val="single"/>
        </w:rPr>
        <w:t> </w:t>
      </w:r>
      <w:r>
        <w:rPr>
          <w:rFonts w:hint="eastAsia" w:ascii="仿宋" w:hAnsi="仿宋" w:eastAsia="仿宋" w:cs="仿宋"/>
          <w:kern w:val="1"/>
          <w:sz w:val="28"/>
          <w:szCs w:val="28"/>
          <w:highlight w:val="none"/>
        </w:rPr>
        <w:t>；</w:t>
      </w:r>
    </w:p>
    <w:p w14:paraId="776FA69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联系电话：</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6A16911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电子信箱：</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0801716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通信地址：</w:t>
      </w:r>
      <w:r>
        <w:rPr>
          <w:rFonts w:hint="eastAsia" w:ascii="仿宋" w:hAnsi="仿宋" w:eastAsia="仿宋" w:cs="仿宋"/>
          <w:kern w:val="1"/>
          <w:sz w:val="28"/>
          <w:szCs w:val="28"/>
          <w:highlight w:val="none"/>
          <w:u w:val="single"/>
        </w:rPr>
        <w:t>   </w:t>
      </w:r>
      <w:r>
        <w:rPr>
          <w:rFonts w:hint="eastAsia" w:ascii="仿宋" w:hAnsi="仿宋" w:eastAsia="仿宋" w:cs="仿宋"/>
          <w:kern w:val="1"/>
          <w:sz w:val="28"/>
          <w:szCs w:val="28"/>
          <w:highlight w:val="none"/>
        </w:rPr>
        <w:t>；</w:t>
      </w:r>
    </w:p>
    <w:p w14:paraId="6553E67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关于监理人的其他约定：</w:t>
      </w:r>
      <w:r>
        <w:rPr>
          <w:rFonts w:hint="eastAsia" w:ascii="仿宋" w:hAnsi="仿宋" w:eastAsia="仿宋" w:cs="仿宋"/>
          <w:kern w:val="1"/>
          <w:sz w:val="28"/>
          <w:szCs w:val="28"/>
          <w:highlight w:val="none"/>
          <w:u w:val="single"/>
        </w:rPr>
        <w:t>执行监理合同 </w:t>
      </w:r>
      <w:r>
        <w:rPr>
          <w:rFonts w:hint="eastAsia" w:ascii="仿宋" w:hAnsi="仿宋" w:eastAsia="仿宋" w:cs="仿宋"/>
          <w:kern w:val="1"/>
          <w:sz w:val="28"/>
          <w:szCs w:val="28"/>
          <w:highlight w:val="none"/>
        </w:rPr>
        <w:t>。</w:t>
      </w:r>
    </w:p>
    <w:p w14:paraId="2817C9F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4.3 商定或确定</w:t>
      </w:r>
    </w:p>
    <w:p w14:paraId="334C2ADD">
      <w:pPr>
        <w:spacing w:line="360" w:lineRule="auto"/>
        <w:ind w:firstLine="560" w:firstLineChars="200"/>
        <w:rPr>
          <w:rFonts w:hint="eastAsia" w:ascii="仿宋" w:hAnsi="仿宋" w:eastAsia="仿宋" w:cs="仿宋"/>
          <w:kern w:val="1"/>
          <w:sz w:val="28"/>
          <w:szCs w:val="28"/>
          <w:highlight w:val="none"/>
        </w:rPr>
      </w:pPr>
      <w:bookmarkStart w:id="725" w:name="_Toc267251418"/>
      <w:bookmarkEnd w:id="725"/>
      <w:r>
        <w:rPr>
          <w:rFonts w:hint="eastAsia" w:ascii="仿宋" w:hAnsi="仿宋" w:eastAsia="仿宋" w:cs="仿宋"/>
          <w:kern w:val="1"/>
          <w:sz w:val="28"/>
          <w:szCs w:val="28"/>
          <w:highlight w:val="none"/>
        </w:rPr>
        <w:t>在发包人和承包人不能通过协商达成一致意见时，发包人授权监理人对以下事项进行确定：</w:t>
      </w:r>
    </w:p>
    <w:p w14:paraId="191DA4C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r>
        <w:rPr>
          <w:rFonts w:hint="eastAsia" w:ascii="仿宋" w:hAnsi="仿宋" w:eastAsia="仿宋" w:cs="仿宋"/>
          <w:kern w:val="1"/>
          <w:sz w:val="28"/>
          <w:szCs w:val="28"/>
          <w:highlight w:val="none"/>
          <w:u w:val="single"/>
        </w:rPr>
        <w:t xml:space="preserve">                  无                 </w:t>
      </w:r>
      <w:r>
        <w:rPr>
          <w:rFonts w:hint="eastAsia" w:ascii="仿宋" w:hAnsi="仿宋" w:eastAsia="仿宋" w:cs="仿宋"/>
          <w:kern w:val="1"/>
          <w:sz w:val="28"/>
          <w:szCs w:val="28"/>
          <w:highlight w:val="none"/>
        </w:rPr>
        <w:t>；</w:t>
      </w:r>
    </w:p>
    <w:p w14:paraId="030719D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u w:val="single"/>
        </w:rPr>
        <w:t xml:space="preserve">                无                   </w:t>
      </w:r>
      <w:r>
        <w:rPr>
          <w:rFonts w:hint="eastAsia" w:ascii="仿宋" w:hAnsi="仿宋" w:eastAsia="仿宋" w:cs="仿宋"/>
          <w:kern w:val="1"/>
          <w:sz w:val="28"/>
          <w:szCs w:val="28"/>
          <w:highlight w:val="none"/>
        </w:rPr>
        <w:t>；</w:t>
      </w:r>
    </w:p>
    <w:p w14:paraId="4E40A19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w:t>
      </w:r>
      <w:r>
        <w:rPr>
          <w:rFonts w:hint="eastAsia" w:ascii="仿宋" w:hAnsi="仿宋" w:eastAsia="仿宋" w:cs="仿宋"/>
          <w:kern w:val="1"/>
          <w:sz w:val="28"/>
          <w:szCs w:val="28"/>
          <w:highlight w:val="none"/>
          <w:u w:val="single"/>
        </w:rPr>
        <w:t xml:space="preserve">                无                   </w:t>
      </w:r>
      <w:r>
        <w:rPr>
          <w:rFonts w:hint="eastAsia" w:ascii="仿宋" w:hAnsi="仿宋" w:eastAsia="仿宋" w:cs="仿宋"/>
          <w:kern w:val="1"/>
          <w:sz w:val="28"/>
          <w:szCs w:val="28"/>
          <w:highlight w:val="none"/>
        </w:rPr>
        <w:t>。</w:t>
      </w:r>
    </w:p>
    <w:p w14:paraId="3AEE554A">
      <w:pPr>
        <w:spacing w:line="360" w:lineRule="auto"/>
        <w:ind w:firstLine="560" w:firstLineChars="200"/>
        <w:rPr>
          <w:rFonts w:hint="eastAsia" w:ascii="仿宋" w:hAnsi="仿宋" w:eastAsia="仿宋" w:cs="仿宋"/>
          <w:kern w:val="1"/>
          <w:sz w:val="28"/>
          <w:szCs w:val="28"/>
          <w:highlight w:val="none"/>
        </w:rPr>
      </w:pPr>
      <w:bookmarkStart w:id="726" w:name="_Toc351203637"/>
      <w:bookmarkEnd w:id="726"/>
      <w:r>
        <w:rPr>
          <w:rFonts w:hint="eastAsia" w:ascii="仿宋" w:hAnsi="仿宋" w:eastAsia="仿宋" w:cs="仿宋"/>
          <w:kern w:val="1"/>
          <w:sz w:val="28"/>
          <w:szCs w:val="28"/>
          <w:highlight w:val="none"/>
        </w:rPr>
        <w:t>5</w:t>
      </w:r>
      <w:bookmarkStart w:id="727" w:name="_Toc296347162"/>
      <w:bookmarkEnd w:id="727"/>
      <w:bookmarkStart w:id="728" w:name="_Toc296944502"/>
      <w:bookmarkEnd w:id="728"/>
      <w:bookmarkStart w:id="729" w:name="_Toc296890991"/>
      <w:bookmarkEnd w:id="729"/>
      <w:bookmarkStart w:id="730" w:name="_Toc292559872"/>
      <w:bookmarkEnd w:id="730"/>
      <w:bookmarkStart w:id="731" w:name="_Toc292559367"/>
      <w:bookmarkEnd w:id="731"/>
      <w:bookmarkStart w:id="732" w:name="_Toc297120463"/>
      <w:bookmarkEnd w:id="732"/>
      <w:bookmarkStart w:id="733" w:name="_Toc296891203"/>
      <w:bookmarkEnd w:id="733"/>
      <w:bookmarkStart w:id="734" w:name="_Toc296503163"/>
      <w:bookmarkEnd w:id="734"/>
      <w:bookmarkStart w:id="735" w:name="_Toc297048349"/>
      <w:bookmarkEnd w:id="735"/>
      <w:bookmarkStart w:id="736" w:name="_Toc296346664"/>
      <w:bookmarkEnd w:id="736"/>
      <w:r>
        <w:rPr>
          <w:rFonts w:hint="eastAsia" w:ascii="仿宋" w:hAnsi="仿宋" w:eastAsia="仿宋" w:cs="仿宋"/>
          <w:kern w:val="1"/>
          <w:sz w:val="28"/>
          <w:szCs w:val="28"/>
          <w:highlight w:val="none"/>
        </w:rPr>
        <w:t>. 工程质量</w:t>
      </w:r>
    </w:p>
    <w:p w14:paraId="6D5DD93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5.1 质量要求</w:t>
      </w:r>
    </w:p>
    <w:p w14:paraId="68359C2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5</w:t>
      </w:r>
      <w:bookmarkStart w:id="737" w:name="_Toc297216155"/>
      <w:bookmarkEnd w:id="737"/>
      <w:bookmarkStart w:id="738" w:name="_Toc300934949"/>
      <w:bookmarkEnd w:id="738"/>
      <w:bookmarkStart w:id="739" w:name="_Toc304295527"/>
      <w:bookmarkEnd w:id="739"/>
      <w:bookmarkStart w:id="740" w:name="_Toc312677997"/>
      <w:bookmarkEnd w:id="740"/>
      <w:bookmarkStart w:id="741" w:name="_Toc297123496"/>
      <w:bookmarkEnd w:id="741"/>
      <w:bookmarkStart w:id="742" w:name="_Toc318581164"/>
      <w:bookmarkEnd w:id="742"/>
      <w:bookmarkStart w:id="743" w:name="_Toc303539106"/>
      <w:bookmarkEnd w:id="743"/>
      <w:r>
        <w:rPr>
          <w:rFonts w:hint="eastAsia" w:ascii="仿宋" w:hAnsi="仿宋" w:eastAsia="仿宋" w:cs="仿宋"/>
          <w:kern w:val="1"/>
          <w:sz w:val="28"/>
          <w:szCs w:val="28"/>
          <w:highlight w:val="none"/>
        </w:rPr>
        <w:t>.1.1 特殊质量标准和要求：</w:t>
      </w:r>
      <w:r>
        <w:rPr>
          <w:rFonts w:hint="eastAsia" w:ascii="仿宋" w:hAnsi="仿宋" w:eastAsia="仿宋" w:cs="仿宋"/>
          <w:kern w:val="1"/>
          <w:sz w:val="28"/>
          <w:szCs w:val="28"/>
          <w:highlight w:val="none"/>
          <w:u w:val="single"/>
        </w:rPr>
        <w:t xml:space="preserve">                     。</w:t>
      </w:r>
    </w:p>
    <w:p w14:paraId="65B06E7E">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关于工程奖项的约定:</w:t>
      </w:r>
      <w:r>
        <w:rPr>
          <w:rFonts w:hint="eastAsia" w:ascii="仿宋" w:hAnsi="仿宋" w:eastAsia="仿宋" w:cs="仿宋"/>
          <w:sz w:val="28"/>
          <w:szCs w:val="28"/>
          <w:highlight w:val="none"/>
          <w:u w:val="single"/>
        </w:rPr>
        <w:t>_____________________________________________</w:t>
      </w:r>
    </w:p>
    <w:p w14:paraId="4858B2F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5.2 隐蔽工程检查</w:t>
      </w:r>
    </w:p>
    <w:p w14:paraId="260BFF64">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5.2.1承包人提前通知监理人隐蔽工程检查的期限的约定：</w:t>
      </w:r>
      <w:r>
        <w:rPr>
          <w:rFonts w:hint="eastAsia" w:ascii="仿宋" w:hAnsi="仿宋" w:eastAsia="仿宋" w:cs="仿宋"/>
          <w:kern w:val="1"/>
          <w:sz w:val="28"/>
          <w:szCs w:val="28"/>
          <w:highlight w:val="none"/>
          <w:u w:val="single"/>
        </w:rPr>
        <w:t xml:space="preserve"> 共同检查前 24 小时书面通知监理人。   </w:t>
      </w:r>
    </w:p>
    <w:p w14:paraId="03F6510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监理人不能按时进行检查时，应提前</w:t>
      </w:r>
      <w:r>
        <w:rPr>
          <w:rFonts w:hint="eastAsia" w:ascii="仿宋" w:hAnsi="仿宋" w:eastAsia="仿宋" w:cs="仿宋"/>
          <w:kern w:val="1"/>
          <w:sz w:val="28"/>
          <w:szCs w:val="28"/>
          <w:highlight w:val="none"/>
          <w:u w:val="single"/>
        </w:rPr>
        <w:t xml:space="preserve">24 </w:t>
      </w:r>
      <w:r>
        <w:rPr>
          <w:rFonts w:hint="eastAsia" w:ascii="仿宋" w:hAnsi="仿宋" w:eastAsia="仿宋" w:cs="仿宋"/>
          <w:kern w:val="1"/>
          <w:sz w:val="28"/>
          <w:szCs w:val="28"/>
          <w:highlight w:val="none"/>
        </w:rPr>
        <w:t>小时提交书面延期要求。</w:t>
      </w:r>
    </w:p>
    <w:p w14:paraId="653E1BF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关于延期最长不得超过：</w:t>
      </w:r>
      <w:r>
        <w:rPr>
          <w:rFonts w:hint="eastAsia" w:ascii="仿宋" w:hAnsi="仿宋" w:eastAsia="仿宋" w:cs="仿宋"/>
          <w:kern w:val="1"/>
          <w:sz w:val="28"/>
          <w:szCs w:val="28"/>
          <w:highlight w:val="none"/>
          <w:u w:val="single"/>
        </w:rPr>
        <w:t xml:space="preserve">  48  </w:t>
      </w:r>
      <w:r>
        <w:rPr>
          <w:rFonts w:hint="eastAsia" w:ascii="仿宋" w:hAnsi="仿宋" w:eastAsia="仿宋" w:cs="仿宋"/>
          <w:kern w:val="1"/>
          <w:sz w:val="28"/>
          <w:szCs w:val="28"/>
          <w:highlight w:val="none"/>
        </w:rPr>
        <w:t>小时。</w:t>
      </w:r>
    </w:p>
    <w:p w14:paraId="001AE10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5.3不合格工程的处理</w:t>
      </w:r>
    </w:p>
    <w:p w14:paraId="056BF4D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u w:val="single"/>
        </w:rPr>
        <w:t>除通用条款约定的处理原则外，若质量问题经返工修复后达到质量验收标准，承包人还须另外按该不合格项目所处分项工程造价的</w:t>
      </w:r>
      <w:r>
        <w:rPr>
          <w:rFonts w:hint="eastAsia" w:ascii="仿宋" w:hAnsi="仿宋" w:eastAsia="仿宋" w:cs="仿宋"/>
          <w:b/>
          <w:bCs/>
          <w:kern w:val="1"/>
          <w:sz w:val="28"/>
          <w:szCs w:val="28"/>
          <w:highlight w:val="none"/>
          <w:u w:val="single"/>
          <w:lang w:val="en-US" w:eastAsia="zh-CN"/>
        </w:rPr>
        <w:t xml:space="preserve">    </w:t>
      </w:r>
      <w:r>
        <w:rPr>
          <w:rFonts w:hint="eastAsia" w:ascii="仿宋" w:hAnsi="仿宋" w:eastAsia="仿宋" w:cs="仿宋"/>
          <w:b/>
          <w:bCs/>
          <w:kern w:val="1"/>
          <w:sz w:val="28"/>
          <w:szCs w:val="28"/>
          <w:highlight w:val="none"/>
          <w:u w:val="single"/>
        </w:rPr>
        <w:t>倍</w:t>
      </w:r>
      <w:r>
        <w:rPr>
          <w:rFonts w:hint="eastAsia" w:ascii="仿宋" w:hAnsi="仿宋" w:eastAsia="仿宋" w:cs="仿宋"/>
          <w:kern w:val="1"/>
          <w:sz w:val="28"/>
          <w:szCs w:val="28"/>
          <w:highlight w:val="none"/>
          <w:u w:val="single"/>
        </w:rPr>
        <w:t>向发包人支付违约金；若无法返工修复，或返工修复达不到约定的质量标准和要求，</w:t>
      </w:r>
      <w:r>
        <w:rPr>
          <w:rFonts w:hint="eastAsia" w:ascii="仿宋" w:hAnsi="仿宋" w:eastAsia="仿宋" w:cs="仿宋"/>
          <w:b/>
          <w:kern w:val="1"/>
          <w:sz w:val="28"/>
          <w:szCs w:val="28"/>
          <w:highlight w:val="none"/>
          <w:u w:val="single"/>
        </w:rPr>
        <w:t>承包人除应当退还所收取的工程价款，</w:t>
      </w:r>
      <w:r>
        <w:rPr>
          <w:rFonts w:hint="eastAsia" w:ascii="仿宋" w:hAnsi="仿宋" w:eastAsia="仿宋" w:cs="仿宋"/>
          <w:kern w:val="1"/>
          <w:sz w:val="28"/>
          <w:szCs w:val="28"/>
          <w:highlight w:val="none"/>
          <w:u w:val="single"/>
        </w:rPr>
        <w:t>承担返工造成的全部经济损失和工期延误外，发包人将按不合格分项工程造价的</w:t>
      </w:r>
      <w:r>
        <w:rPr>
          <w:rFonts w:hint="eastAsia" w:ascii="仿宋" w:hAnsi="仿宋" w:eastAsia="仿宋" w:cs="仿宋"/>
          <w:b/>
          <w:bCs/>
          <w:kern w:val="1"/>
          <w:sz w:val="28"/>
          <w:szCs w:val="28"/>
          <w:highlight w:val="none"/>
          <w:u w:val="single"/>
          <w:lang w:val="en-US" w:eastAsia="zh-CN"/>
        </w:rPr>
        <w:t xml:space="preserve">    </w:t>
      </w:r>
      <w:r>
        <w:rPr>
          <w:rFonts w:hint="eastAsia" w:ascii="仿宋" w:hAnsi="仿宋" w:eastAsia="仿宋" w:cs="仿宋"/>
          <w:b/>
          <w:bCs/>
          <w:kern w:val="1"/>
          <w:sz w:val="28"/>
          <w:szCs w:val="28"/>
          <w:highlight w:val="none"/>
          <w:u w:val="single"/>
        </w:rPr>
        <w:t xml:space="preserve"> 倍</w:t>
      </w:r>
      <w:r>
        <w:rPr>
          <w:rFonts w:hint="eastAsia" w:ascii="仿宋" w:hAnsi="仿宋" w:eastAsia="仿宋" w:cs="仿宋"/>
          <w:kern w:val="1"/>
          <w:sz w:val="28"/>
          <w:szCs w:val="28"/>
          <w:highlight w:val="none"/>
          <w:u w:val="single"/>
        </w:rPr>
        <w:t>对承包人进行罚款。情节严重的，发包人可以单方解除合同，取消承包人后续工程承包资格，同时承包人还应赔偿给发包人造成的一切损失。</w:t>
      </w:r>
    </w:p>
    <w:p w14:paraId="149C278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1"/>
          <w:sz w:val="28"/>
          <w:szCs w:val="28"/>
          <w:highlight w:val="none"/>
        </w:rPr>
        <w:t>工程施工质量违约金处罚标准详见合同附件。</w:t>
      </w:r>
    </w:p>
    <w:p w14:paraId="423621A4">
      <w:pPr>
        <w:spacing w:line="360" w:lineRule="auto"/>
        <w:ind w:firstLine="560" w:firstLineChars="200"/>
        <w:rPr>
          <w:rFonts w:hint="eastAsia" w:ascii="仿宋" w:hAnsi="仿宋" w:eastAsia="仿宋" w:cs="仿宋"/>
          <w:kern w:val="1"/>
          <w:sz w:val="28"/>
          <w:szCs w:val="28"/>
          <w:highlight w:val="none"/>
        </w:rPr>
      </w:pPr>
      <w:bookmarkStart w:id="744" w:name="_Toc351203638"/>
      <w:bookmarkEnd w:id="744"/>
      <w:r>
        <w:rPr>
          <w:rFonts w:hint="eastAsia" w:ascii="仿宋" w:hAnsi="仿宋" w:eastAsia="仿宋" w:cs="仿宋"/>
          <w:kern w:val="1"/>
          <w:sz w:val="28"/>
          <w:szCs w:val="28"/>
          <w:highlight w:val="none"/>
        </w:rPr>
        <w:t>6. 安全文明施工与环境保护</w:t>
      </w:r>
    </w:p>
    <w:p w14:paraId="05AED4E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6.1安全文明施工</w:t>
      </w:r>
    </w:p>
    <w:p w14:paraId="38DFB33A">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sz w:val="28"/>
          <w:szCs w:val="28"/>
          <w:highlight w:val="none"/>
        </w:rPr>
        <w:t>6.1.1 项目安全生产的达标目标及相应事项的约定：</w:t>
      </w:r>
      <w:r>
        <w:rPr>
          <w:rFonts w:hint="eastAsia" w:ascii="仿宋" w:hAnsi="仿宋" w:eastAsia="仿宋" w:cs="仿宋"/>
          <w:b/>
          <w:bCs/>
          <w:sz w:val="28"/>
          <w:szCs w:val="28"/>
          <w:highlight w:val="none"/>
        </w:rPr>
        <w:t>确保死亡率为零（0）、重伤率为零（0）、月轻伤频率万分之二以下，杜绝伤亡事故的发生，符合发包人安全文明施工要求。并执行双方签订的《施工安全协议书》。</w:t>
      </w:r>
      <w:r>
        <w:rPr>
          <w:rFonts w:hint="eastAsia" w:ascii="仿宋" w:hAnsi="仿宋" w:eastAsia="仿宋" w:cs="仿宋"/>
          <w:b/>
          <w:bCs/>
          <w:kern w:val="1"/>
          <w:sz w:val="28"/>
          <w:szCs w:val="28"/>
          <w:highlight w:val="none"/>
          <w:u w:val="single"/>
        </w:rPr>
        <w:t xml:space="preserve"> </w:t>
      </w:r>
    </w:p>
    <w:p w14:paraId="1C940E70">
      <w:pPr>
        <w:spacing w:line="360" w:lineRule="auto"/>
        <w:ind w:firstLine="560" w:firstLineChars="200"/>
        <w:rPr>
          <w:rFonts w:hint="eastAsia" w:ascii="仿宋" w:hAnsi="仿宋" w:eastAsia="仿宋" w:cs="仿宋"/>
          <w:b/>
          <w:bCs/>
          <w:sz w:val="28"/>
          <w:szCs w:val="28"/>
          <w:highlight w:val="none"/>
          <w:u w:val="single"/>
        </w:rPr>
      </w:pPr>
      <w:r>
        <w:rPr>
          <w:rFonts w:hint="eastAsia" w:ascii="仿宋" w:hAnsi="仿宋" w:eastAsia="仿宋" w:cs="仿宋"/>
          <w:sz w:val="28"/>
          <w:szCs w:val="28"/>
          <w:highlight w:val="none"/>
        </w:rPr>
        <w:t>6.1.2 关于治安保卫的特别约定：</w:t>
      </w:r>
      <w:r>
        <w:rPr>
          <w:rFonts w:hint="eastAsia" w:ascii="仿宋" w:hAnsi="仿宋" w:eastAsia="仿宋" w:cs="仿宋"/>
          <w:b/>
          <w:bCs/>
          <w:sz w:val="28"/>
          <w:szCs w:val="28"/>
          <w:highlight w:val="none"/>
          <w:u w:val="single"/>
        </w:rPr>
        <w:t>在发包人范围内施工的，承包人应遵守发包人有关治安保卫的规定；在发包人范围外施工的，承包人应与当地公安部门协商并建立治安保卫机构，履行治安保卫职责，并承担因治安保卫不力产生的一切责任及费用。</w:t>
      </w:r>
    </w:p>
    <w:p w14:paraId="2F51BCD5">
      <w:pPr>
        <w:spacing w:line="360" w:lineRule="auto"/>
        <w:ind w:firstLine="560" w:firstLineChars="200"/>
        <w:rPr>
          <w:rFonts w:hint="eastAsia" w:ascii="仿宋" w:hAnsi="仿宋" w:eastAsia="仿宋" w:cs="仿宋"/>
          <w:b/>
          <w:bCs/>
          <w:sz w:val="28"/>
          <w:szCs w:val="28"/>
          <w:highlight w:val="none"/>
          <w:u w:val="single"/>
        </w:rPr>
      </w:pPr>
      <w:r>
        <w:rPr>
          <w:rFonts w:hint="eastAsia" w:ascii="仿宋" w:hAnsi="仿宋" w:eastAsia="仿宋" w:cs="仿宋"/>
          <w:sz w:val="28"/>
          <w:szCs w:val="28"/>
          <w:highlight w:val="none"/>
        </w:rPr>
        <w:t>关于编制施工场地治安管理计划的约定：</w:t>
      </w:r>
      <w:r>
        <w:rPr>
          <w:rFonts w:hint="eastAsia" w:ascii="仿宋" w:hAnsi="仿宋" w:eastAsia="仿宋" w:cs="仿宋"/>
          <w:b/>
          <w:bCs/>
          <w:sz w:val="28"/>
          <w:szCs w:val="28"/>
          <w:highlight w:val="none"/>
          <w:u w:val="single"/>
        </w:rPr>
        <w:t>由承包人负责编制施工场地治安管理计划并制定应对突发治安事件的紧急预案。</w:t>
      </w:r>
    </w:p>
    <w:p w14:paraId="6E51B34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6.1.3 文明施工</w:t>
      </w:r>
    </w:p>
    <w:p w14:paraId="2540D619">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合同当事人对文明施工的要求：</w:t>
      </w:r>
      <w:r>
        <w:rPr>
          <w:rFonts w:hint="eastAsia" w:ascii="仿宋" w:hAnsi="仿宋" w:eastAsia="仿宋" w:cs="仿宋"/>
          <w:sz w:val="28"/>
          <w:szCs w:val="28"/>
          <w:highlight w:val="none"/>
          <w:u w:val="single"/>
        </w:rPr>
        <w:t>按以下约定执行。</w:t>
      </w:r>
    </w:p>
    <w:p w14:paraId="441B2564">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在实施和完成本合同工程及工程保修的整个过程中，承包人必须遵守国家和地方等有关安全文明施工的有关规定，如果由于承包人未能对安全文明生产采取必要的措施而导致发生人身伤亡、罚款、索赔、损失补偿、诉讼及其他一切责任，均由承包人负责，并赔偿给发包人造成的全部损失。</w:t>
      </w:r>
    </w:p>
    <w:p w14:paraId="704E90AE">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（2）承包人应当为施工现场从事施工作业和管理的人员，在施工活动过程中发生的人身意外伤亡事故提供保障，办理建筑意外伤害保险、支付保险费。</w:t>
      </w:r>
    </w:p>
    <w:p w14:paraId="21FBF427">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（3）承包人在施工和保修期间进行作业时，对本工程周围环境都应采取必要的保护措施，不得随意排放污水和有害物，也不得破坏已建或在建工程的任何部分。</w:t>
      </w:r>
    </w:p>
    <w:p w14:paraId="32582013">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（4）承包人的机械设备必须符合国家有关标准，性能良好，应配备专业的操作人员并具有上岗证书，施工车辆应经过公安交通部门检测合格，证照齐全。</w:t>
      </w:r>
    </w:p>
    <w:p w14:paraId="1AA18B98">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承包人在工程开工前应办理好工程的安监手续，并经验收后才能进行开工建设，同时承包人须积极配合安监部门及发包人做好安全施工的检查工作，并在施工中，积极对职工开展安全教育培训，提高职工的安全意识，做好安全施工的检查，不定期地做好施工机械、车辆、电力线路、生活生产设施的检查，提高安全性能。</w:t>
      </w:r>
    </w:p>
    <w:p w14:paraId="1628C61A">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承包人应该做好外来人员和外来车辆到现场的安全管理，承包人应做好各类危险指示牌，指示牌需清晰可辩，如外来人员或外来车辆在施工现场出现事故，是由于承包人责任的，承包人应承担该项赔偿费用和责任。安全防护措施费由承包人承担。</w:t>
      </w:r>
    </w:p>
    <w:p w14:paraId="520EFF9E">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（7）若本工程在政府主管部门关于安全文明施工检查中被通报处理的，处罚费用由承包人承担，除按照合同附件中的安全文明施工违约金标准处罚外，同时还应向发包人承担</w:t>
      </w:r>
      <w:r>
        <w:rPr>
          <w:rFonts w:hint="eastAsia" w:ascii="仿宋" w:hAnsi="仿宋" w:eastAsia="仿宋" w:cs="仿宋"/>
          <w:sz w:val="28"/>
          <w:szCs w:val="28"/>
          <w:highlight w:val="none"/>
          <w:u w:val="single"/>
          <w:lang w:val="en-US" w:eastAsia="zh-CN"/>
        </w:rPr>
        <w:t xml:space="preserve"> 5000 </w:t>
      </w:r>
      <w:r>
        <w:rPr>
          <w:rFonts w:hint="eastAsia" w:ascii="仿宋" w:hAnsi="仿宋" w:eastAsia="仿宋" w:cs="仿宋"/>
          <w:sz w:val="28"/>
          <w:szCs w:val="28"/>
          <w:highlight w:val="none"/>
        </w:rPr>
        <w:t>元/次的违约金。</w:t>
      </w:r>
    </w:p>
    <w:p w14:paraId="6845AE2F">
      <w:pPr>
        <w:spacing w:line="360" w:lineRule="auto"/>
        <w:ind w:firstLine="560" w:firstLineChars="200"/>
        <w:jc w:val="left"/>
        <w:rPr>
          <w:rFonts w:hint="eastAsia" w:ascii="仿宋" w:hAnsi="仿宋" w:eastAsia="仿宋" w:cs="仿宋"/>
          <w:kern w:val="1"/>
          <w:sz w:val="28"/>
          <w:szCs w:val="28"/>
          <w:highlight w:val="none"/>
        </w:rPr>
      </w:pPr>
      <w:r>
        <w:rPr>
          <w:rFonts w:hint="eastAsia" w:ascii="仿宋" w:hAnsi="仿宋" w:eastAsia="仿宋" w:cs="仿宋"/>
          <w:sz w:val="28"/>
          <w:szCs w:val="28"/>
          <w:highlight w:val="none"/>
        </w:rPr>
        <w:t>（8）安全文明施工违约金处罚标准详见合同附件。</w:t>
      </w:r>
    </w:p>
    <w:p w14:paraId="4BCBF533">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6.1.4 关于安全文明施工费支付比例和支付期限的约定:</w:t>
      </w:r>
      <w:r>
        <w:rPr>
          <w:rFonts w:hint="eastAsia" w:ascii="仿宋" w:hAnsi="仿宋" w:eastAsia="仿宋" w:cs="仿宋"/>
          <w:b/>
          <w:bCs/>
          <w:sz w:val="28"/>
          <w:szCs w:val="28"/>
          <w:highlight w:val="none"/>
          <w:u w:val="single"/>
        </w:rPr>
        <w:t>已包含在合同价款中，根据付款节点约定随工程进度支付。</w:t>
      </w:r>
    </w:p>
    <w:p w14:paraId="53D812BE">
      <w:pPr>
        <w:spacing w:line="360" w:lineRule="auto"/>
        <w:ind w:firstLine="560" w:firstLineChars="200"/>
        <w:rPr>
          <w:rFonts w:hint="eastAsia" w:ascii="仿宋" w:hAnsi="仿宋" w:eastAsia="仿宋" w:cs="仿宋"/>
          <w:kern w:val="1"/>
          <w:sz w:val="28"/>
          <w:szCs w:val="28"/>
          <w:highlight w:val="none"/>
        </w:rPr>
      </w:pPr>
      <w:bookmarkStart w:id="745" w:name="_Toc351203639"/>
      <w:bookmarkEnd w:id="745"/>
      <w:r>
        <w:rPr>
          <w:rFonts w:hint="eastAsia" w:ascii="仿宋" w:hAnsi="仿宋" w:eastAsia="仿宋" w:cs="仿宋"/>
          <w:kern w:val="1"/>
          <w:sz w:val="28"/>
          <w:szCs w:val="28"/>
          <w:highlight w:val="none"/>
        </w:rPr>
        <w:t>7. 工期和进度</w:t>
      </w:r>
    </w:p>
    <w:p w14:paraId="2EE0178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7.1 施工组织设计</w:t>
      </w:r>
    </w:p>
    <w:p w14:paraId="11B549E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7.1.1 合同当事人约定的施工组织设计应包括的其他内容：</w:t>
      </w:r>
      <w:r>
        <w:rPr>
          <w:rFonts w:hint="eastAsia" w:ascii="仿宋" w:hAnsi="仿宋" w:eastAsia="仿宋" w:cs="仿宋"/>
          <w:b/>
          <w:bCs/>
          <w:kern w:val="1"/>
          <w:sz w:val="28"/>
          <w:szCs w:val="28"/>
          <w:highlight w:val="none"/>
          <w:u w:val="single"/>
        </w:rPr>
        <w:t>除常规的施工部署、施工方案、保证质量和安全的保障体系与技术措施外，还应包括必要的专项施工设计、施工图深化设计方案等内容。</w:t>
      </w:r>
    </w:p>
    <w:p w14:paraId="61E09A6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7.1.2 施工组织设计的提交和修改</w:t>
      </w:r>
    </w:p>
    <w:p w14:paraId="4C02DAAD">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kern w:val="1"/>
          <w:sz w:val="28"/>
          <w:szCs w:val="28"/>
          <w:highlight w:val="none"/>
        </w:rPr>
        <w:t>承包人提交详细施工组织设计的期限的约定：</w:t>
      </w:r>
      <w:r>
        <w:rPr>
          <w:rFonts w:hint="eastAsia" w:ascii="仿宋" w:hAnsi="仿宋" w:eastAsia="仿宋" w:cs="仿宋"/>
          <w:b/>
          <w:bCs/>
          <w:kern w:val="1"/>
          <w:sz w:val="28"/>
          <w:szCs w:val="28"/>
          <w:highlight w:val="none"/>
          <w:u w:val="single"/>
        </w:rPr>
        <w:t>承包人应在开工7日前，向监理人提交经公司审批的详细的施工组织设计，并经监理人审批后报送发包人审定。</w:t>
      </w:r>
    </w:p>
    <w:p w14:paraId="751A5C7D">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kern w:val="1"/>
          <w:sz w:val="28"/>
          <w:szCs w:val="28"/>
          <w:highlight w:val="none"/>
        </w:rPr>
        <w:t>发包人和监理人在收到详细的施工组织设计后确认或提出修改意见的期限：</w:t>
      </w:r>
      <w:r>
        <w:rPr>
          <w:rFonts w:hint="eastAsia" w:ascii="仿宋" w:hAnsi="仿宋" w:eastAsia="仿宋" w:cs="仿宋"/>
          <w:b/>
          <w:bCs/>
          <w:kern w:val="1"/>
          <w:sz w:val="28"/>
          <w:szCs w:val="28"/>
          <w:highlight w:val="none"/>
          <w:u w:val="single"/>
        </w:rPr>
        <w:t>发包人和监理人应在监理人收到施工组织设计后 3 天内确认或提出修改意见。对发包人和监理人提出的合理意见和要求，承包人应予以修改、完善，并承担相关费用。根据工程实际情况需要修改施工组织设计的，承包人应向发包人和监理人再次提交修订后的施工组织设计。</w:t>
      </w:r>
    </w:p>
    <w:p w14:paraId="49BBEE0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w:t>
      </w:r>
      <w:bookmarkStart w:id="746" w:name="_Toc304295541"/>
      <w:bookmarkEnd w:id="746"/>
      <w:bookmarkStart w:id="747" w:name="_Toc297216173"/>
      <w:bookmarkEnd w:id="747"/>
      <w:bookmarkStart w:id="748" w:name="_Toc312678005"/>
      <w:bookmarkEnd w:id="748"/>
      <w:bookmarkStart w:id="749" w:name="_Toc303539123"/>
      <w:bookmarkEnd w:id="749"/>
      <w:bookmarkStart w:id="750" w:name="_Toc300934966"/>
      <w:bookmarkEnd w:id="750"/>
      <w:bookmarkStart w:id="751" w:name="_Toc297123514"/>
      <w:bookmarkEnd w:id="751"/>
      <w:bookmarkStart w:id="752" w:name="_Toc312677479"/>
      <w:bookmarkEnd w:id="752"/>
      <w:r>
        <w:rPr>
          <w:rFonts w:hint="eastAsia" w:ascii="仿宋" w:hAnsi="仿宋" w:eastAsia="仿宋" w:cs="仿宋"/>
          <w:kern w:val="1"/>
          <w:sz w:val="28"/>
          <w:szCs w:val="28"/>
          <w:highlight w:val="none"/>
        </w:rPr>
        <w:t>.2 施工进度计划</w:t>
      </w:r>
    </w:p>
    <w:p w14:paraId="46ACD14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7.2.1 施工进度计划的修订</w:t>
      </w:r>
    </w:p>
    <w:p w14:paraId="4F80E22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发包人和监理人在收到修订的施工进度计划后确认或提出修改意见的期限：</w:t>
      </w:r>
      <w:r>
        <w:rPr>
          <w:rFonts w:hint="eastAsia" w:ascii="仿宋" w:hAnsi="仿宋" w:eastAsia="仿宋" w:cs="仿宋"/>
          <w:b/>
          <w:bCs/>
          <w:kern w:val="1"/>
          <w:sz w:val="28"/>
          <w:szCs w:val="28"/>
          <w:highlight w:val="none"/>
          <w:u w:val="single"/>
        </w:rPr>
        <w:t>发包人和监理人应在收到修订的施工进度计划后 2 日内完成审核和批准或提出修改意见。发包人和监理人对承包人提交的施工进度计划的确认，不能减轻或免除承包人根据法律规定和合同约定应承担的任何责任或义务。施工进度计划另附。施工进度计划作为承包人工程进度是否违约的依据。</w:t>
      </w:r>
    </w:p>
    <w:p w14:paraId="6899B66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7.3 开工</w:t>
      </w:r>
    </w:p>
    <w:p w14:paraId="06013FEA">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kern w:val="1"/>
          <w:sz w:val="28"/>
          <w:szCs w:val="28"/>
          <w:highlight w:val="none"/>
        </w:rPr>
        <w:t>关于承包人提交工程开工报审表的期限：</w:t>
      </w:r>
      <w:r>
        <w:rPr>
          <w:rFonts w:hint="eastAsia" w:ascii="仿宋" w:hAnsi="仿宋" w:eastAsia="仿宋" w:cs="仿宋"/>
          <w:b/>
          <w:bCs/>
          <w:kern w:val="1"/>
          <w:sz w:val="28"/>
          <w:szCs w:val="28"/>
          <w:highlight w:val="none"/>
          <w:u w:val="single"/>
        </w:rPr>
        <w:t>承包人应在合同签订后7日内，向监理人提交工程开工报审表，经监理人报发包人批准后执行。开工报审表应详细说明按施工进度计划、临时设施、材料、工程设备、施工设备、施工人员等落实情况以及工程的进度安排。</w:t>
      </w:r>
    </w:p>
    <w:p w14:paraId="55DA8FF0">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kern w:val="1"/>
          <w:sz w:val="28"/>
          <w:szCs w:val="28"/>
          <w:highlight w:val="none"/>
        </w:rPr>
        <w:t>关于发包人应完成的其他开工准备工作及期限：</w:t>
      </w:r>
      <w:r>
        <w:rPr>
          <w:rFonts w:hint="eastAsia" w:ascii="仿宋" w:hAnsi="仿宋" w:eastAsia="仿宋" w:cs="仿宋"/>
          <w:b/>
          <w:bCs/>
          <w:kern w:val="1"/>
          <w:sz w:val="28"/>
          <w:szCs w:val="28"/>
          <w:highlight w:val="none"/>
          <w:u w:val="single"/>
        </w:rPr>
        <w:t>在开工报审表约定的计划开工时间前 3 日完成全部开工准备工作。</w:t>
      </w:r>
    </w:p>
    <w:p w14:paraId="331AD902">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kern w:val="1"/>
          <w:sz w:val="28"/>
          <w:szCs w:val="28"/>
          <w:highlight w:val="none"/>
        </w:rPr>
        <w:t>关于承包人应完成的其他开工准备工作及期限：</w:t>
      </w:r>
      <w:r>
        <w:rPr>
          <w:rFonts w:hint="eastAsia" w:ascii="仿宋" w:hAnsi="仿宋" w:eastAsia="仿宋" w:cs="仿宋"/>
          <w:b/>
          <w:bCs/>
          <w:kern w:val="1"/>
          <w:sz w:val="28"/>
          <w:szCs w:val="28"/>
          <w:highlight w:val="none"/>
          <w:u w:val="single"/>
        </w:rPr>
        <w:t>在开工报审表约定的计划开工时间前 3 日完成全部开工准备工作。</w:t>
      </w:r>
    </w:p>
    <w:p w14:paraId="254F774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7.3.2 开工通知</w:t>
      </w:r>
    </w:p>
    <w:p w14:paraId="227EB37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因发包人原因造成监理人未能在计划开工日期之日起</w:t>
      </w:r>
      <w:r>
        <w:rPr>
          <w:rFonts w:hint="eastAsia" w:ascii="仿宋" w:hAnsi="仿宋" w:eastAsia="仿宋" w:cs="仿宋"/>
          <w:b/>
          <w:bCs/>
          <w:kern w:val="1"/>
          <w:sz w:val="28"/>
          <w:szCs w:val="28"/>
          <w:highlight w:val="none"/>
          <w:u w:val="single"/>
        </w:rPr>
        <w:t xml:space="preserve"> 120天内</w:t>
      </w:r>
      <w:r>
        <w:rPr>
          <w:rFonts w:hint="eastAsia" w:ascii="仿宋" w:hAnsi="仿宋" w:eastAsia="仿宋" w:cs="仿宋"/>
          <w:kern w:val="1"/>
          <w:sz w:val="28"/>
          <w:szCs w:val="28"/>
          <w:highlight w:val="none"/>
        </w:rPr>
        <w:t>发出开工通知的，</w:t>
      </w:r>
      <w:r>
        <w:rPr>
          <w:rFonts w:hint="eastAsia" w:ascii="仿宋" w:hAnsi="仿宋" w:eastAsia="仿宋" w:cs="仿宋"/>
          <w:b/>
          <w:kern w:val="1"/>
          <w:sz w:val="28"/>
          <w:szCs w:val="28"/>
          <w:highlight w:val="none"/>
        </w:rPr>
        <w:t>承包人和发包人均有权解除合同</w:t>
      </w:r>
      <w:r>
        <w:rPr>
          <w:rFonts w:hint="eastAsia" w:ascii="仿宋" w:hAnsi="仿宋" w:eastAsia="仿宋" w:cs="仿宋"/>
          <w:kern w:val="1"/>
          <w:sz w:val="28"/>
          <w:szCs w:val="28"/>
          <w:highlight w:val="none"/>
        </w:rPr>
        <w:t>。</w:t>
      </w:r>
    </w:p>
    <w:p w14:paraId="216FE49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7.4 测量放线</w:t>
      </w:r>
    </w:p>
    <w:p w14:paraId="326A534D">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kern w:val="1"/>
          <w:sz w:val="28"/>
          <w:szCs w:val="28"/>
          <w:highlight w:val="none"/>
        </w:rPr>
        <w:t>7.4.1 发包人通过监理人向承包人提供测量基准点、基准线和水准点及其书面资料的期限：</w:t>
      </w:r>
      <w:r>
        <w:rPr>
          <w:rFonts w:hint="eastAsia" w:ascii="仿宋" w:hAnsi="仿宋" w:eastAsia="仿宋" w:cs="仿宋"/>
          <w:b/>
          <w:bCs/>
          <w:kern w:val="1"/>
          <w:sz w:val="28"/>
          <w:szCs w:val="28"/>
          <w:highlight w:val="none"/>
          <w:u w:val="single"/>
        </w:rPr>
        <w:t>开工日期前 3 天。</w:t>
      </w:r>
    </w:p>
    <w:p w14:paraId="2E92CAD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w:t>
      </w:r>
      <w:bookmarkStart w:id="753" w:name="_Toc312678010"/>
      <w:bookmarkEnd w:id="753"/>
      <w:bookmarkStart w:id="754" w:name="_Toc300934968"/>
      <w:bookmarkEnd w:id="754"/>
      <w:bookmarkStart w:id="755" w:name="_Toc303539125"/>
      <w:bookmarkEnd w:id="755"/>
      <w:bookmarkStart w:id="756" w:name="_Toc304295546"/>
      <w:bookmarkEnd w:id="756"/>
      <w:bookmarkStart w:id="757" w:name="_Toc312677484"/>
      <w:bookmarkEnd w:id="757"/>
      <w:bookmarkStart w:id="758" w:name="_Toc297216175"/>
      <w:bookmarkEnd w:id="758"/>
      <w:bookmarkStart w:id="759" w:name="_Toc297123516"/>
      <w:bookmarkEnd w:id="759"/>
      <w:r>
        <w:rPr>
          <w:rFonts w:hint="eastAsia" w:ascii="仿宋" w:hAnsi="仿宋" w:eastAsia="仿宋" w:cs="仿宋"/>
          <w:kern w:val="1"/>
          <w:sz w:val="28"/>
          <w:szCs w:val="28"/>
          <w:highlight w:val="none"/>
        </w:rPr>
        <w:t>.5 工期延误</w:t>
      </w:r>
    </w:p>
    <w:p w14:paraId="0D22FAF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7.5.1 因发包人原因导致工期延误</w:t>
      </w:r>
    </w:p>
    <w:p w14:paraId="5B91E444">
      <w:pPr>
        <w:spacing w:line="360" w:lineRule="auto"/>
        <w:ind w:firstLine="560" w:firstLineChars="200"/>
        <w:rPr>
          <w:rFonts w:hint="eastAsia" w:ascii="仿宋" w:hAnsi="仿宋" w:eastAsia="仿宋" w:cs="仿宋"/>
          <w:b/>
          <w:bCs/>
          <w:kern w:val="1"/>
          <w:sz w:val="28"/>
          <w:szCs w:val="28"/>
          <w:highlight w:val="none"/>
        </w:rPr>
      </w:pPr>
      <w:r>
        <w:rPr>
          <w:rFonts w:hint="eastAsia" w:ascii="仿宋" w:hAnsi="仿宋" w:eastAsia="仿宋" w:cs="仿宋"/>
          <w:kern w:val="1"/>
          <w:sz w:val="28"/>
          <w:szCs w:val="28"/>
          <w:highlight w:val="none"/>
        </w:rPr>
        <w:t>因发包人原因导致工期延误的其他情形：</w:t>
      </w:r>
      <w:r>
        <w:rPr>
          <w:rFonts w:hint="eastAsia" w:ascii="仿宋" w:hAnsi="仿宋" w:eastAsia="仿宋" w:cs="仿宋"/>
          <w:b/>
          <w:bCs/>
          <w:kern w:val="1"/>
          <w:sz w:val="28"/>
          <w:szCs w:val="28"/>
          <w:highlight w:val="none"/>
        </w:rPr>
        <w:t>⑴重大设计方案调整或设计变更而影响施工进度；⑵发生不可预料的突发事件。（3）征迁时序滞后。上述事件发生造成的工期延误，承包人须在事件发生后 7 日内办理工期签证，逾期发包人将不予认可。因发包人原因造成工期顺延而增加的费用，承包人须在事件发生后 7 日内办理工期签证，逾期发包人将不予认可。由承包人在风险费中考虑，工期予以顺延，停工时间 90 日以上的适用 7.8 暂停施工调价条款。</w:t>
      </w:r>
    </w:p>
    <w:p w14:paraId="566A8D0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7.5.2 因承包人原因导致工期延误</w:t>
      </w:r>
    </w:p>
    <w:p w14:paraId="6DBE120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因承包人原因造成工期延误，逾期竣工违约金的计算方法为：</w:t>
      </w:r>
    </w:p>
    <w:p w14:paraId="020CD77D">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（1）合同双方在确定总工期及关键节点工期时，已经充分考虑下列因素：</w:t>
      </w:r>
      <w:r>
        <w:rPr>
          <w:rFonts w:hint="eastAsia" w:ascii="仿宋" w:hAnsi="仿宋" w:eastAsia="仿宋" w:cs="仿宋"/>
          <w:kern w:val="1"/>
          <w:sz w:val="28"/>
          <w:szCs w:val="28"/>
          <w:highlight w:val="none"/>
          <w:u w:val="single"/>
        </w:rPr>
        <w:t>①可能出现的各种规模的下雨、下雪、大风、雾霾、高低温天气、停水、停电、节假日、政府大型活动等因素（异常恶劣天气气候条件除外）；②合同双方分包工程的合理工期。</w:t>
      </w:r>
    </w:p>
    <w:p w14:paraId="30F1487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2）以下原因在施工关键工期线路上，造成竣工日期及控制工期拖延，且该拖延后果确属不可避免的，经发包人确认，工期相应顺延，但发包人不因此而承担包括但不限于承包人窝工、停工、机械进出场、台班费、措施费等在内的其它责任：</w:t>
      </w:r>
    </w:p>
    <w:p w14:paraId="38F20495">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①按本合同定义的不可抗力（本合同定义以外的不可抗力的影响已由承包人在投标施工总工期中综合包干考虑）；</w:t>
      </w:r>
    </w:p>
    <w:p w14:paraId="11C8920F">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②经发包人同意工期顺延的其他情况。</w:t>
      </w:r>
    </w:p>
    <w:p w14:paraId="3065DA15">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1"/>
          <w:sz w:val="28"/>
          <w:szCs w:val="28"/>
          <w:highlight w:val="none"/>
          <w:u w:val="single"/>
        </w:rPr>
        <w:t>（3）</w:t>
      </w:r>
      <w:r>
        <w:rPr>
          <w:rFonts w:hint="eastAsia" w:ascii="仿宋" w:hAnsi="仿宋" w:eastAsia="仿宋" w:cs="仿宋"/>
          <w:b/>
          <w:kern w:val="1"/>
          <w:sz w:val="28"/>
          <w:szCs w:val="28"/>
          <w:highlight w:val="none"/>
          <w:u w:val="single"/>
        </w:rPr>
        <w:t>承包人逾期竣工的，按每逾期一天应向发包人支付违约金</w:t>
      </w:r>
      <w:r>
        <w:rPr>
          <w:rFonts w:hint="eastAsia" w:ascii="仿宋" w:hAnsi="仿宋" w:eastAsia="仿宋" w:cs="仿宋"/>
          <w:b/>
          <w:kern w:val="1"/>
          <w:sz w:val="28"/>
          <w:szCs w:val="28"/>
          <w:highlight w:val="none"/>
          <w:u w:val="single"/>
          <w:lang w:val="en-US" w:eastAsia="zh-CN"/>
        </w:rPr>
        <w:t xml:space="preserve">1000 </w:t>
      </w:r>
      <w:r>
        <w:rPr>
          <w:rFonts w:hint="eastAsia" w:ascii="仿宋" w:hAnsi="仿宋" w:eastAsia="仿宋" w:cs="仿宋"/>
          <w:b/>
          <w:kern w:val="1"/>
          <w:sz w:val="28"/>
          <w:szCs w:val="28"/>
          <w:highlight w:val="none"/>
          <w:u w:val="single"/>
        </w:rPr>
        <w:t>元</w:t>
      </w:r>
      <w:r>
        <w:rPr>
          <w:rFonts w:hint="eastAsia" w:ascii="仿宋" w:hAnsi="仿宋" w:eastAsia="仿宋" w:cs="仿宋"/>
          <w:kern w:val="1"/>
          <w:sz w:val="28"/>
          <w:szCs w:val="28"/>
          <w:highlight w:val="none"/>
          <w:u w:val="single"/>
        </w:rPr>
        <w:t>，并承担由此造成的一切损失，违约金从工程进度款或结算款中扣除。因承包人原因工期延误超过三十天的，发包人有权单方面解除本合同，未支付合同价款不再支付，并由承包人承担由此带来的一切损失；</w:t>
      </w:r>
      <w:r>
        <w:rPr>
          <w:rFonts w:hint="eastAsia" w:ascii="仿宋" w:hAnsi="仿宋" w:eastAsia="仿宋" w:cs="仿宋"/>
          <w:b/>
          <w:sz w:val="28"/>
          <w:szCs w:val="28"/>
          <w:highlight w:val="none"/>
        </w:rPr>
        <w:t>解除合同后剩余工程增加的工程造价由承包人负责赔偿（剩余工程增加造价=剩余工程合同价款减去剩余工程审计价款的差额）</w:t>
      </w:r>
      <w:r>
        <w:rPr>
          <w:rFonts w:hint="eastAsia" w:ascii="仿宋" w:hAnsi="仿宋" w:eastAsia="仿宋" w:cs="仿宋"/>
          <w:sz w:val="28"/>
          <w:szCs w:val="28"/>
          <w:highlight w:val="none"/>
        </w:rPr>
        <w:t>。</w:t>
      </w:r>
    </w:p>
    <w:p w14:paraId="55C879A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（4）关键节点的处罚措施：/。</w:t>
      </w:r>
    </w:p>
    <w:p w14:paraId="563EE96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因承包人原因造成工期延误，逾期竣工违约金的上限：</w:t>
      </w:r>
      <w:r>
        <w:rPr>
          <w:rFonts w:hint="eastAsia" w:ascii="仿宋" w:hAnsi="仿宋" w:eastAsia="仿宋" w:cs="仿宋"/>
          <w:kern w:val="1"/>
          <w:sz w:val="28"/>
          <w:szCs w:val="28"/>
          <w:highlight w:val="none"/>
          <w:u w:val="single"/>
        </w:rPr>
        <w:t>不设上限</w:t>
      </w:r>
      <w:r>
        <w:rPr>
          <w:rFonts w:hint="eastAsia" w:ascii="仿宋" w:hAnsi="仿宋" w:eastAsia="仿宋" w:cs="仿宋"/>
          <w:kern w:val="1"/>
          <w:sz w:val="28"/>
          <w:szCs w:val="28"/>
          <w:highlight w:val="none"/>
        </w:rPr>
        <w:t>。</w:t>
      </w:r>
    </w:p>
    <w:p w14:paraId="58C7A275">
      <w:pPr>
        <w:tabs>
          <w:tab w:val="left" w:pos="3735"/>
        </w:tabs>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7.6 不利物质条件</w:t>
      </w:r>
    </w:p>
    <w:p w14:paraId="7EAC8EF7">
      <w:pPr>
        <w:tabs>
          <w:tab w:val="left" w:pos="3735"/>
        </w:tabs>
        <w:spacing w:line="360" w:lineRule="auto"/>
        <w:ind w:firstLine="560" w:firstLineChars="200"/>
        <w:rPr>
          <w:rFonts w:hint="eastAsia" w:ascii="仿宋" w:hAnsi="仿宋" w:eastAsia="仿宋" w:cs="仿宋"/>
          <w:b/>
          <w:bCs/>
          <w:color w:val="000000"/>
          <w:sz w:val="28"/>
          <w:szCs w:val="28"/>
          <w:highlight w:val="none"/>
          <w:u w:val="single"/>
        </w:rPr>
      </w:pPr>
      <w:r>
        <w:rPr>
          <w:rFonts w:hint="eastAsia" w:ascii="仿宋" w:hAnsi="仿宋" w:eastAsia="仿宋" w:cs="仿宋"/>
          <w:color w:val="000000"/>
          <w:sz w:val="28"/>
          <w:szCs w:val="28"/>
          <w:highlight w:val="none"/>
        </w:rPr>
        <w:t>不利物质条件的其他情形和有关约定：</w:t>
      </w:r>
      <w:r>
        <w:rPr>
          <w:rFonts w:hint="eastAsia" w:ascii="仿宋" w:hAnsi="仿宋" w:eastAsia="仿宋" w:cs="仿宋"/>
          <w:b/>
          <w:bCs/>
          <w:color w:val="000000"/>
          <w:sz w:val="28"/>
          <w:szCs w:val="28"/>
          <w:highlight w:val="none"/>
          <w:u w:val="single"/>
        </w:rPr>
        <w:t>如遇到严重污染天气、重大活动保障需要暂停施工，且持续时间在一周以上的，承包人须在事件发生后 7 日内办理工期签证，工期予以顺延，逾期发包人将不予认可。风险费用已由承包人在风险费中考虑，因承包人处理不利物质条件而采取措施所增加的费用和延误的工期均由承包人自行承担。</w:t>
      </w:r>
    </w:p>
    <w:p w14:paraId="79854171">
      <w:pPr>
        <w:tabs>
          <w:tab w:val="left" w:pos="3735"/>
        </w:tabs>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7.7 异常恶劣的气候条件</w:t>
      </w:r>
    </w:p>
    <w:p w14:paraId="418DB499">
      <w:pPr>
        <w:tabs>
          <w:tab w:val="left" w:pos="3735"/>
        </w:tabs>
        <w:spacing w:line="360" w:lineRule="auto"/>
        <w:ind w:firstLine="560" w:firstLineChars="200"/>
        <w:rPr>
          <w:rFonts w:hint="eastAsia" w:ascii="仿宋" w:hAnsi="仿宋" w:eastAsia="仿宋" w:cs="仿宋"/>
          <w:b/>
          <w:bCs/>
          <w:color w:val="000000"/>
          <w:sz w:val="28"/>
          <w:szCs w:val="28"/>
          <w:highlight w:val="none"/>
          <w:u w:val="single"/>
        </w:rPr>
      </w:pPr>
      <w:r>
        <w:rPr>
          <w:rFonts w:hint="eastAsia" w:ascii="仿宋" w:hAnsi="仿宋" w:eastAsia="仿宋" w:cs="仿宋"/>
          <w:color w:val="000000"/>
          <w:sz w:val="28"/>
          <w:szCs w:val="28"/>
          <w:highlight w:val="none"/>
        </w:rPr>
        <w:t>发包人和承包人同意以下情形视为异常恶劣的气候条件：</w:t>
      </w:r>
      <w:r>
        <w:rPr>
          <w:rFonts w:hint="eastAsia" w:ascii="仿宋" w:hAnsi="仿宋" w:eastAsia="仿宋" w:cs="仿宋"/>
          <w:b/>
          <w:bCs/>
          <w:color w:val="000000"/>
          <w:sz w:val="28"/>
          <w:szCs w:val="28"/>
          <w:highlight w:val="none"/>
          <w:u w:val="single"/>
        </w:rPr>
        <w:t>50 年一遇的风、雨、雪、洪水及工程遭遇 5 级以上的地震等自然灾害属不可抗力。其他不可预见的、时间连续超过一周，且对合同履行造成实质性影响的，但尚未构成不可抗力事件的，社会普遍公认的恶劣气候条件。其余同通用条款</w:t>
      </w:r>
    </w:p>
    <w:p w14:paraId="4CF91018">
      <w:pPr>
        <w:tabs>
          <w:tab w:val="left" w:pos="3735"/>
        </w:tabs>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7.8 提前竣工的奖励</w:t>
      </w:r>
      <w:r>
        <w:rPr>
          <w:rFonts w:hint="eastAsia" w:ascii="仿宋" w:hAnsi="仿宋" w:eastAsia="仿宋" w:cs="仿宋"/>
          <w:color w:val="000000"/>
          <w:sz w:val="28"/>
          <w:szCs w:val="28"/>
          <w:highlight w:val="none"/>
        </w:rPr>
        <w:tab/>
      </w:r>
    </w:p>
    <w:p w14:paraId="23462307">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提前竣工的奖励：</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14:paraId="56875F1D">
      <w:pPr>
        <w:spacing w:line="360" w:lineRule="auto"/>
        <w:ind w:firstLine="560" w:firstLineChars="200"/>
        <w:rPr>
          <w:rFonts w:hint="eastAsia" w:ascii="仿宋" w:hAnsi="仿宋" w:eastAsia="仿宋" w:cs="仿宋"/>
          <w:kern w:val="1"/>
          <w:sz w:val="28"/>
          <w:szCs w:val="28"/>
          <w:highlight w:val="none"/>
        </w:rPr>
      </w:pPr>
      <w:bookmarkStart w:id="760" w:name="_Toc351203640"/>
      <w:bookmarkEnd w:id="760"/>
      <w:r>
        <w:rPr>
          <w:rFonts w:hint="eastAsia" w:ascii="仿宋" w:hAnsi="仿宋" w:eastAsia="仿宋" w:cs="仿宋"/>
          <w:kern w:val="1"/>
          <w:sz w:val="28"/>
          <w:szCs w:val="28"/>
          <w:highlight w:val="none"/>
        </w:rPr>
        <w:t>8. 材料与设备</w:t>
      </w:r>
    </w:p>
    <w:p w14:paraId="48294E3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8</w:t>
      </w:r>
      <w:bookmarkStart w:id="761" w:name="_Toc296346668"/>
      <w:bookmarkEnd w:id="761"/>
      <w:bookmarkStart w:id="762" w:name="_Toc280868656"/>
      <w:bookmarkEnd w:id="762"/>
      <w:bookmarkStart w:id="763" w:name="_Toc292559877"/>
      <w:bookmarkEnd w:id="763"/>
      <w:bookmarkStart w:id="764" w:name="_Toc297216186"/>
      <w:bookmarkEnd w:id="764"/>
      <w:bookmarkStart w:id="765" w:name="_Toc300934979"/>
      <w:bookmarkEnd w:id="765"/>
      <w:bookmarkStart w:id="766" w:name="_Toc280868655"/>
      <w:bookmarkEnd w:id="766"/>
      <w:bookmarkStart w:id="767" w:name="_Toc304295556"/>
      <w:bookmarkEnd w:id="767"/>
      <w:bookmarkStart w:id="768" w:name="_Toc296347166"/>
      <w:bookmarkEnd w:id="768"/>
      <w:bookmarkStart w:id="769" w:name="_Toc280868654"/>
      <w:bookmarkEnd w:id="769"/>
      <w:bookmarkStart w:id="770" w:name="_Toc303539136"/>
      <w:bookmarkEnd w:id="770"/>
      <w:bookmarkStart w:id="771" w:name="_Toc297048353"/>
      <w:bookmarkEnd w:id="771"/>
      <w:bookmarkStart w:id="772" w:name="_Toc312678019"/>
      <w:bookmarkEnd w:id="772"/>
      <w:bookmarkStart w:id="773" w:name="_Toc296944506"/>
      <w:bookmarkEnd w:id="773"/>
      <w:bookmarkStart w:id="774" w:name="_Toc267251424"/>
      <w:bookmarkEnd w:id="774"/>
      <w:bookmarkStart w:id="775" w:name="_Toc296890995"/>
      <w:bookmarkEnd w:id="775"/>
      <w:bookmarkStart w:id="776" w:name="_Toc312677493"/>
      <w:bookmarkEnd w:id="776"/>
      <w:bookmarkStart w:id="777" w:name="_Toc292559372"/>
      <w:bookmarkEnd w:id="777"/>
      <w:bookmarkStart w:id="778" w:name="_Toc297120467"/>
      <w:bookmarkEnd w:id="778"/>
      <w:bookmarkStart w:id="779" w:name="_Toc296891207"/>
      <w:bookmarkEnd w:id="779"/>
      <w:bookmarkStart w:id="780" w:name="_Toc297123527"/>
      <w:bookmarkEnd w:id="780"/>
      <w:bookmarkStart w:id="781" w:name="_Toc296503167"/>
      <w:bookmarkEnd w:id="781"/>
      <w:r>
        <w:rPr>
          <w:rFonts w:hint="eastAsia" w:ascii="仿宋" w:hAnsi="仿宋" w:eastAsia="仿宋" w:cs="仿宋"/>
          <w:kern w:val="1"/>
          <w:sz w:val="28"/>
          <w:szCs w:val="28"/>
          <w:highlight w:val="none"/>
        </w:rPr>
        <w:t>.1材料与工程设备的保管与使用</w:t>
      </w:r>
    </w:p>
    <w:p w14:paraId="49B4BD3E">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8</w:t>
      </w:r>
      <w:bookmarkStart w:id="782" w:name="_Toc292559373"/>
      <w:bookmarkEnd w:id="782"/>
      <w:bookmarkStart w:id="783" w:name="_Toc296890996"/>
      <w:bookmarkEnd w:id="783"/>
      <w:bookmarkStart w:id="784" w:name="_Toc300934980"/>
      <w:bookmarkEnd w:id="784"/>
      <w:bookmarkStart w:id="785" w:name="_Toc297216187"/>
      <w:bookmarkEnd w:id="785"/>
      <w:bookmarkStart w:id="786" w:name="_Toc296346669"/>
      <w:bookmarkEnd w:id="786"/>
      <w:bookmarkStart w:id="787" w:name="_Toc296347167"/>
      <w:bookmarkEnd w:id="787"/>
      <w:bookmarkStart w:id="788" w:name="_Toc296891208"/>
      <w:bookmarkEnd w:id="788"/>
      <w:bookmarkStart w:id="789" w:name="_Toc297123528"/>
      <w:bookmarkEnd w:id="789"/>
      <w:bookmarkStart w:id="790" w:name="_Toc292559878"/>
      <w:bookmarkEnd w:id="790"/>
      <w:bookmarkStart w:id="791" w:name="_Toc297120468"/>
      <w:bookmarkEnd w:id="791"/>
      <w:bookmarkStart w:id="792" w:name="_Toc318581173"/>
      <w:bookmarkEnd w:id="792"/>
      <w:bookmarkStart w:id="793" w:name="_Toc312678020"/>
      <w:bookmarkEnd w:id="793"/>
      <w:bookmarkStart w:id="794" w:name="_Toc304295557"/>
      <w:bookmarkEnd w:id="794"/>
      <w:bookmarkStart w:id="795" w:name="_Toc312677494"/>
      <w:bookmarkEnd w:id="795"/>
      <w:bookmarkStart w:id="796" w:name="_Toc296944507"/>
      <w:bookmarkEnd w:id="796"/>
      <w:bookmarkStart w:id="797" w:name="_Toc303539137"/>
      <w:bookmarkEnd w:id="797"/>
      <w:bookmarkStart w:id="798" w:name="_Toc296503168"/>
      <w:bookmarkEnd w:id="798"/>
      <w:bookmarkStart w:id="799" w:name="_Toc297048354"/>
      <w:bookmarkEnd w:id="799"/>
      <w:r>
        <w:rPr>
          <w:rFonts w:hint="eastAsia" w:ascii="仿宋" w:hAnsi="仿宋" w:eastAsia="仿宋" w:cs="仿宋"/>
          <w:kern w:val="1"/>
          <w:sz w:val="28"/>
          <w:szCs w:val="28"/>
          <w:highlight w:val="none"/>
        </w:rPr>
        <w:t>.1.1发包人供应的材料设备的保管费用的承担：</w:t>
      </w:r>
      <w:r>
        <w:rPr>
          <w:rFonts w:hint="eastAsia" w:ascii="仿宋" w:hAnsi="仿宋" w:eastAsia="仿宋" w:cs="仿宋"/>
          <w:kern w:val="1"/>
          <w:sz w:val="28"/>
          <w:szCs w:val="28"/>
          <w:highlight w:val="none"/>
          <w:u w:val="single"/>
        </w:rPr>
        <w:t xml:space="preserve"> 施工单位自行承担 </w:t>
      </w:r>
      <w:r>
        <w:rPr>
          <w:rFonts w:hint="eastAsia" w:ascii="仿宋" w:hAnsi="仿宋" w:eastAsia="仿宋" w:cs="仿宋"/>
          <w:kern w:val="1"/>
          <w:sz w:val="28"/>
          <w:szCs w:val="28"/>
          <w:highlight w:val="none"/>
        </w:rPr>
        <w:t>。</w:t>
      </w:r>
    </w:p>
    <w:p w14:paraId="0A9DB91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8.2 样品</w:t>
      </w:r>
    </w:p>
    <w:p w14:paraId="02BCA0D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8.2.1样品的报送与封存</w:t>
      </w:r>
    </w:p>
    <w:p w14:paraId="62093EB9">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需要承包人报送样品的材料或工程设备，样品的种类、名称、规格、数量要求：</w:t>
      </w:r>
      <w:r>
        <w:rPr>
          <w:rFonts w:hint="eastAsia" w:ascii="仿宋" w:hAnsi="仿宋" w:eastAsia="仿宋" w:cs="仿宋"/>
          <w:kern w:val="1"/>
          <w:sz w:val="28"/>
          <w:szCs w:val="28"/>
          <w:highlight w:val="none"/>
          <w:u w:val="single"/>
        </w:rPr>
        <w:t xml:space="preserve">  签约时填入  </w:t>
      </w:r>
      <w:r>
        <w:rPr>
          <w:rFonts w:hint="eastAsia" w:ascii="仿宋" w:hAnsi="仿宋" w:eastAsia="仿宋" w:cs="仿宋"/>
          <w:kern w:val="1"/>
          <w:sz w:val="28"/>
          <w:szCs w:val="28"/>
          <w:highlight w:val="none"/>
        </w:rPr>
        <w:t>。</w:t>
      </w:r>
    </w:p>
    <w:p w14:paraId="7E3081B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8.3 施工设备和临时设施</w:t>
      </w:r>
    </w:p>
    <w:p w14:paraId="2555F87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8.3.1 承包人提供的施工设备和临时设施</w:t>
      </w:r>
    </w:p>
    <w:p w14:paraId="4DB97F8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关于修建临时设施费用承担的约定：</w:t>
      </w:r>
      <w:r>
        <w:rPr>
          <w:rFonts w:hint="eastAsia" w:ascii="仿宋" w:hAnsi="仿宋" w:eastAsia="仿宋" w:cs="仿宋"/>
          <w:kern w:val="1"/>
          <w:sz w:val="28"/>
          <w:szCs w:val="28"/>
          <w:highlight w:val="none"/>
          <w:u w:val="single"/>
        </w:rPr>
        <w:t xml:space="preserve">   施工单位自行承担     </w:t>
      </w:r>
      <w:r>
        <w:rPr>
          <w:rFonts w:hint="eastAsia" w:ascii="仿宋" w:hAnsi="仿宋" w:eastAsia="仿宋" w:cs="仿宋"/>
          <w:kern w:val="1"/>
          <w:sz w:val="28"/>
          <w:szCs w:val="28"/>
          <w:highlight w:val="none"/>
        </w:rPr>
        <w:t>。</w:t>
      </w:r>
    </w:p>
    <w:p w14:paraId="6568912F">
      <w:pPr>
        <w:spacing w:line="360" w:lineRule="auto"/>
        <w:ind w:firstLine="560" w:firstLineChars="200"/>
        <w:rPr>
          <w:rFonts w:hint="eastAsia" w:ascii="仿宋" w:hAnsi="仿宋" w:eastAsia="仿宋" w:cs="仿宋"/>
          <w:kern w:val="1"/>
          <w:sz w:val="28"/>
          <w:szCs w:val="28"/>
          <w:highlight w:val="none"/>
        </w:rPr>
      </w:pPr>
      <w:bookmarkStart w:id="800" w:name="_Toc351203641"/>
      <w:bookmarkEnd w:id="800"/>
      <w:r>
        <w:rPr>
          <w:rFonts w:hint="eastAsia" w:ascii="仿宋" w:hAnsi="仿宋" w:eastAsia="仿宋" w:cs="仿宋"/>
          <w:kern w:val="1"/>
          <w:sz w:val="28"/>
          <w:szCs w:val="28"/>
          <w:highlight w:val="none"/>
        </w:rPr>
        <w:t>9</w:t>
      </w:r>
      <w:bookmarkStart w:id="801" w:name="_Toc297123533"/>
      <w:bookmarkEnd w:id="801"/>
      <w:bookmarkStart w:id="802" w:name="_Toc296891001"/>
      <w:bookmarkEnd w:id="802"/>
      <w:bookmarkStart w:id="803" w:name="_Toc292559883"/>
      <w:bookmarkEnd w:id="803"/>
      <w:bookmarkStart w:id="804" w:name="_Toc303539139"/>
      <w:bookmarkEnd w:id="804"/>
      <w:bookmarkStart w:id="805" w:name="_Toc292559378"/>
      <w:bookmarkEnd w:id="805"/>
      <w:bookmarkStart w:id="806" w:name="_Toc312677495"/>
      <w:bookmarkEnd w:id="806"/>
      <w:bookmarkStart w:id="807" w:name="_Toc267251427"/>
      <w:bookmarkEnd w:id="807"/>
      <w:bookmarkStart w:id="808" w:name="_Toc300934982"/>
      <w:bookmarkEnd w:id="808"/>
      <w:bookmarkStart w:id="809" w:name="_Toc296503173"/>
      <w:bookmarkEnd w:id="809"/>
      <w:bookmarkStart w:id="810" w:name="_Toc296891213"/>
      <w:bookmarkEnd w:id="810"/>
      <w:bookmarkStart w:id="811" w:name="_Toc296944512"/>
      <w:bookmarkEnd w:id="811"/>
      <w:bookmarkStart w:id="812" w:name="_Toc297048359"/>
      <w:bookmarkEnd w:id="812"/>
      <w:bookmarkStart w:id="813" w:name="_Toc304295559"/>
      <w:bookmarkEnd w:id="813"/>
      <w:bookmarkStart w:id="814" w:name="_Toc267251428"/>
      <w:bookmarkEnd w:id="814"/>
      <w:bookmarkStart w:id="815" w:name="_Toc296346674"/>
      <w:bookmarkEnd w:id="815"/>
      <w:bookmarkStart w:id="816" w:name="_Toc296347172"/>
      <w:bookmarkEnd w:id="816"/>
      <w:bookmarkStart w:id="817" w:name="_Toc297216192"/>
      <w:bookmarkEnd w:id="817"/>
      <w:bookmarkStart w:id="818" w:name="_Toc297120473"/>
      <w:bookmarkEnd w:id="818"/>
      <w:bookmarkStart w:id="819" w:name="_Toc312678021"/>
      <w:bookmarkEnd w:id="819"/>
      <w:r>
        <w:rPr>
          <w:rFonts w:hint="eastAsia" w:ascii="仿宋" w:hAnsi="仿宋" w:eastAsia="仿宋" w:cs="仿宋"/>
          <w:kern w:val="1"/>
          <w:sz w:val="28"/>
          <w:szCs w:val="28"/>
          <w:highlight w:val="none"/>
        </w:rPr>
        <w:t>. 试验与检</w:t>
      </w:r>
    </w:p>
    <w:p w14:paraId="4F39563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9</w:t>
      </w:r>
      <w:bookmarkStart w:id="820" w:name="_Toc297123534"/>
      <w:bookmarkEnd w:id="820"/>
      <w:bookmarkStart w:id="821" w:name="_Toc300934983"/>
      <w:bookmarkEnd w:id="821"/>
      <w:bookmarkStart w:id="822" w:name="_Toc312678022"/>
      <w:bookmarkEnd w:id="822"/>
      <w:bookmarkStart w:id="823" w:name="_Toc303539140"/>
      <w:bookmarkEnd w:id="823"/>
      <w:bookmarkStart w:id="824" w:name="_Toc304295560"/>
      <w:bookmarkEnd w:id="824"/>
      <w:bookmarkStart w:id="825" w:name="_Toc312677496"/>
      <w:bookmarkEnd w:id="825"/>
      <w:bookmarkStart w:id="826" w:name="_Toc297216193"/>
      <w:bookmarkEnd w:id="826"/>
      <w:r>
        <w:rPr>
          <w:rFonts w:hint="eastAsia" w:ascii="仿宋" w:hAnsi="仿宋" w:eastAsia="仿宋" w:cs="仿宋"/>
          <w:kern w:val="1"/>
          <w:sz w:val="28"/>
          <w:szCs w:val="28"/>
          <w:highlight w:val="none"/>
        </w:rPr>
        <w:t>.1试验设备与试验人员</w:t>
      </w:r>
    </w:p>
    <w:p w14:paraId="44FA8BD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9</w:t>
      </w:r>
      <w:bookmarkStart w:id="827" w:name="_Toc297123535"/>
      <w:bookmarkEnd w:id="827"/>
      <w:bookmarkStart w:id="828" w:name="_Toc300934984"/>
      <w:bookmarkEnd w:id="828"/>
      <w:bookmarkStart w:id="829" w:name="_Toc297216194"/>
      <w:bookmarkEnd w:id="829"/>
      <w:bookmarkStart w:id="830" w:name="_Toc303539141"/>
      <w:bookmarkEnd w:id="830"/>
      <w:bookmarkStart w:id="831" w:name="_Toc318581174"/>
      <w:bookmarkEnd w:id="831"/>
      <w:bookmarkStart w:id="832" w:name="_Toc312677497"/>
      <w:bookmarkEnd w:id="832"/>
      <w:bookmarkStart w:id="833" w:name="_Toc312678023"/>
      <w:bookmarkEnd w:id="833"/>
      <w:bookmarkStart w:id="834" w:name="_Toc304295561"/>
      <w:bookmarkEnd w:id="834"/>
      <w:r>
        <w:rPr>
          <w:rFonts w:hint="eastAsia" w:ascii="仿宋" w:hAnsi="仿宋" w:eastAsia="仿宋" w:cs="仿宋"/>
          <w:kern w:val="1"/>
          <w:sz w:val="28"/>
          <w:szCs w:val="28"/>
          <w:highlight w:val="none"/>
        </w:rPr>
        <w:t>.1.1 试验设备</w:t>
      </w:r>
    </w:p>
    <w:p w14:paraId="70A10F22">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施工现场需要配置的试验场所：</w:t>
      </w:r>
      <w:bookmarkStart w:id="835" w:name="_Toc297216195"/>
      <w:bookmarkEnd w:id="835"/>
      <w:bookmarkStart w:id="836" w:name="_Toc297123536"/>
      <w:bookmarkEnd w:id="836"/>
      <w:bookmarkStart w:id="837" w:name="_Toc312677498"/>
      <w:bookmarkEnd w:id="837"/>
      <w:bookmarkStart w:id="838" w:name="_Toc303539142"/>
      <w:bookmarkEnd w:id="838"/>
      <w:bookmarkStart w:id="839" w:name="_Toc312678024"/>
      <w:bookmarkEnd w:id="839"/>
      <w:bookmarkStart w:id="840" w:name="_Toc300934985"/>
      <w:bookmarkEnd w:id="840"/>
      <w:bookmarkStart w:id="841" w:name="_Toc304295562"/>
      <w:bookmarkEnd w:id="841"/>
      <w:r>
        <w:rPr>
          <w:rFonts w:hint="eastAsia" w:ascii="仿宋" w:hAnsi="仿宋" w:eastAsia="仿宋" w:cs="仿宋"/>
          <w:kern w:val="1"/>
          <w:sz w:val="28"/>
          <w:szCs w:val="28"/>
          <w:highlight w:val="none"/>
          <w:u w:val="single"/>
        </w:rPr>
        <w:t xml:space="preserve">    施工单位自行承担     </w:t>
      </w:r>
      <w:r>
        <w:rPr>
          <w:rFonts w:hint="eastAsia" w:ascii="仿宋" w:hAnsi="仿宋" w:eastAsia="仿宋" w:cs="仿宋"/>
          <w:kern w:val="1"/>
          <w:sz w:val="28"/>
          <w:szCs w:val="28"/>
          <w:highlight w:val="none"/>
        </w:rPr>
        <w:t>。</w:t>
      </w:r>
    </w:p>
    <w:p w14:paraId="3DDD332B">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施工现场需要配备的试验设备：</w:t>
      </w:r>
      <w:r>
        <w:rPr>
          <w:rFonts w:hint="eastAsia" w:ascii="仿宋" w:hAnsi="仿宋" w:eastAsia="仿宋" w:cs="仿宋"/>
          <w:kern w:val="1"/>
          <w:sz w:val="28"/>
          <w:szCs w:val="28"/>
          <w:highlight w:val="none"/>
          <w:u w:val="single"/>
        </w:rPr>
        <w:t xml:space="preserve">   施工单位自行承担      </w:t>
      </w:r>
      <w:r>
        <w:rPr>
          <w:rFonts w:hint="eastAsia" w:ascii="仿宋" w:hAnsi="仿宋" w:eastAsia="仿宋" w:cs="仿宋"/>
          <w:kern w:val="1"/>
          <w:sz w:val="28"/>
          <w:szCs w:val="28"/>
          <w:highlight w:val="none"/>
        </w:rPr>
        <w:t>。</w:t>
      </w:r>
    </w:p>
    <w:p w14:paraId="429AE5C4">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施工现场需要具备的其他试验条件：</w:t>
      </w:r>
      <w:r>
        <w:rPr>
          <w:rFonts w:hint="eastAsia" w:ascii="仿宋" w:hAnsi="仿宋" w:eastAsia="仿宋" w:cs="仿宋"/>
          <w:kern w:val="1"/>
          <w:sz w:val="28"/>
          <w:szCs w:val="28"/>
          <w:highlight w:val="none"/>
          <w:u w:val="single"/>
        </w:rPr>
        <w:t xml:space="preserve">    施工单位自行承担       </w:t>
      </w:r>
      <w:r>
        <w:rPr>
          <w:rFonts w:hint="eastAsia" w:ascii="仿宋" w:hAnsi="仿宋" w:eastAsia="仿宋" w:cs="仿宋"/>
          <w:kern w:val="1"/>
          <w:sz w:val="28"/>
          <w:szCs w:val="28"/>
          <w:highlight w:val="none"/>
        </w:rPr>
        <w:t>。</w:t>
      </w:r>
    </w:p>
    <w:p w14:paraId="02DD1F1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 xml:space="preserve">9.2 现场工艺试验 </w:t>
      </w:r>
    </w:p>
    <w:p w14:paraId="0E4CE78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现场工艺试验的有关约定：</w:t>
      </w:r>
      <w:r>
        <w:rPr>
          <w:rFonts w:hint="eastAsia" w:ascii="仿宋" w:hAnsi="仿宋" w:eastAsia="仿宋" w:cs="仿宋"/>
          <w:kern w:val="1"/>
          <w:sz w:val="28"/>
          <w:szCs w:val="28"/>
          <w:highlight w:val="none"/>
          <w:u w:val="single"/>
        </w:rPr>
        <w:t xml:space="preserve"> 符合国家及安徽省、淮南市建设行政主管部门相关规定；满足相关规范要求；满足本项目施工实际需要；常规的现场工艺试验由承包人按发包人（或监理人）指示进行，大型、特殊的现场工艺试验，应编制专项工艺试验措施并报发包人（或监理人）批准后实施；所有相关费用由承包人承担。</w:t>
      </w:r>
    </w:p>
    <w:p w14:paraId="07609AB2">
      <w:pPr>
        <w:spacing w:line="360" w:lineRule="auto"/>
        <w:ind w:firstLine="560" w:firstLineChars="200"/>
        <w:rPr>
          <w:rFonts w:hint="eastAsia" w:ascii="仿宋" w:hAnsi="仿宋" w:eastAsia="仿宋" w:cs="仿宋"/>
          <w:kern w:val="1"/>
          <w:sz w:val="28"/>
          <w:szCs w:val="28"/>
          <w:highlight w:val="none"/>
        </w:rPr>
      </w:pPr>
      <w:bookmarkStart w:id="842" w:name="_Toc351203642"/>
      <w:bookmarkEnd w:id="842"/>
      <w:r>
        <w:rPr>
          <w:rFonts w:hint="eastAsia" w:ascii="仿宋" w:hAnsi="仿宋" w:eastAsia="仿宋" w:cs="仿宋"/>
          <w:kern w:val="1"/>
          <w:sz w:val="28"/>
          <w:szCs w:val="28"/>
          <w:highlight w:val="none"/>
        </w:rPr>
        <w:t>1</w:t>
      </w:r>
      <w:bookmarkStart w:id="843" w:name="_Toc303539146"/>
      <w:bookmarkEnd w:id="843"/>
      <w:bookmarkStart w:id="844" w:name="_Toc300934989"/>
      <w:bookmarkEnd w:id="844"/>
      <w:bookmarkStart w:id="845" w:name="_Toc267251437"/>
      <w:bookmarkEnd w:id="845"/>
      <w:bookmarkStart w:id="846" w:name="_Toc304295566"/>
      <w:bookmarkEnd w:id="846"/>
      <w:bookmarkStart w:id="847" w:name="_Toc296346694"/>
      <w:bookmarkEnd w:id="847"/>
      <w:bookmarkStart w:id="848" w:name="_Toc292559398"/>
      <w:bookmarkEnd w:id="848"/>
      <w:bookmarkStart w:id="849" w:name="_Toc296944532"/>
      <w:bookmarkEnd w:id="849"/>
      <w:bookmarkStart w:id="850" w:name="_Toc297048379"/>
      <w:bookmarkEnd w:id="850"/>
      <w:bookmarkStart w:id="851" w:name="_Toc296891233"/>
      <w:bookmarkEnd w:id="851"/>
      <w:bookmarkStart w:id="852" w:name="_Toc267251435"/>
      <w:bookmarkEnd w:id="852"/>
      <w:bookmarkStart w:id="853" w:name="_Toc296347192"/>
      <w:bookmarkEnd w:id="853"/>
      <w:bookmarkStart w:id="854" w:name="_Toc312677499"/>
      <w:bookmarkEnd w:id="854"/>
      <w:bookmarkStart w:id="855" w:name="_Toc297123540"/>
      <w:bookmarkEnd w:id="855"/>
      <w:bookmarkStart w:id="856" w:name="_Toc267251441"/>
      <w:bookmarkEnd w:id="856"/>
      <w:bookmarkStart w:id="857" w:name="_Toc267251433"/>
      <w:bookmarkEnd w:id="857"/>
      <w:bookmarkStart w:id="858" w:name="_Toc267251442"/>
      <w:bookmarkEnd w:id="858"/>
      <w:bookmarkStart w:id="859" w:name="_Toc296891021"/>
      <w:bookmarkEnd w:id="859"/>
      <w:bookmarkStart w:id="860" w:name="_Toc297216199"/>
      <w:bookmarkEnd w:id="860"/>
      <w:bookmarkStart w:id="861" w:name="_Toc292559903"/>
      <w:bookmarkEnd w:id="861"/>
      <w:bookmarkStart w:id="862" w:name="_Toc267251439"/>
      <w:bookmarkEnd w:id="862"/>
      <w:bookmarkStart w:id="863" w:name="_Toc297120493"/>
      <w:bookmarkEnd w:id="863"/>
      <w:bookmarkStart w:id="864" w:name="_Toc267251440"/>
      <w:bookmarkEnd w:id="864"/>
      <w:bookmarkStart w:id="865" w:name="_Toc312678025"/>
      <w:bookmarkEnd w:id="865"/>
      <w:bookmarkStart w:id="866" w:name="_Toc296503193"/>
      <w:bookmarkEnd w:id="866"/>
      <w:r>
        <w:rPr>
          <w:rFonts w:hint="eastAsia" w:ascii="仿宋" w:hAnsi="仿宋" w:eastAsia="仿宋" w:cs="仿宋"/>
          <w:kern w:val="1"/>
          <w:sz w:val="28"/>
          <w:szCs w:val="28"/>
          <w:highlight w:val="none"/>
        </w:rPr>
        <w:t>0. 变更</w:t>
      </w:r>
    </w:p>
    <w:p w14:paraId="41281BF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bookmarkStart w:id="867" w:name="_Toc297120494"/>
      <w:bookmarkEnd w:id="867"/>
      <w:bookmarkStart w:id="868" w:name="_Toc296503194"/>
      <w:bookmarkEnd w:id="868"/>
      <w:bookmarkStart w:id="869" w:name="_Toc304295567"/>
      <w:bookmarkEnd w:id="869"/>
      <w:bookmarkStart w:id="870" w:name="_Toc300934990"/>
      <w:bookmarkEnd w:id="870"/>
      <w:bookmarkStart w:id="871" w:name="_Toc297048380"/>
      <w:bookmarkEnd w:id="871"/>
      <w:bookmarkStart w:id="872" w:name="_Toc296346695"/>
      <w:bookmarkEnd w:id="872"/>
      <w:bookmarkStart w:id="873" w:name="_Toc297216200"/>
      <w:bookmarkEnd w:id="873"/>
      <w:bookmarkStart w:id="874" w:name="_Toc296891022"/>
      <w:bookmarkEnd w:id="874"/>
      <w:bookmarkStart w:id="875" w:name="_Toc296944533"/>
      <w:bookmarkEnd w:id="875"/>
      <w:bookmarkStart w:id="876" w:name="_Toc312678026"/>
      <w:bookmarkEnd w:id="876"/>
      <w:bookmarkStart w:id="877" w:name="_Toc296347193"/>
      <w:bookmarkEnd w:id="877"/>
      <w:bookmarkStart w:id="878" w:name="_Toc296891234"/>
      <w:bookmarkEnd w:id="878"/>
      <w:bookmarkStart w:id="879" w:name="_Toc292559904"/>
      <w:bookmarkEnd w:id="879"/>
      <w:bookmarkStart w:id="880" w:name="_Toc312677500"/>
      <w:bookmarkEnd w:id="880"/>
      <w:bookmarkStart w:id="881" w:name="_Toc303539147"/>
      <w:bookmarkEnd w:id="881"/>
      <w:bookmarkStart w:id="882" w:name="_Toc292559399"/>
      <w:bookmarkEnd w:id="882"/>
      <w:bookmarkStart w:id="883" w:name="_Toc297123541"/>
      <w:bookmarkEnd w:id="883"/>
      <w:r>
        <w:rPr>
          <w:rFonts w:hint="eastAsia" w:ascii="仿宋" w:hAnsi="仿宋" w:eastAsia="仿宋" w:cs="仿宋"/>
          <w:kern w:val="1"/>
          <w:sz w:val="28"/>
          <w:szCs w:val="28"/>
          <w:highlight w:val="none"/>
        </w:rPr>
        <w:t>0.1变更的范围</w:t>
      </w:r>
    </w:p>
    <w:p w14:paraId="4F691723">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关于变更的范围的约定：</w:t>
      </w:r>
      <w:r>
        <w:rPr>
          <w:rFonts w:hint="eastAsia" w:ascii="仿宋" w:hAnsi="仿宋" w:eastAsia="仿宋" w:cs="仿宋"/>
          <w:kern w:val="1"/>
          <w:sz w:val="28"/>
          <w:szCs w:val="28"/>
          <w:highlight w:val="none"/>
          <w:u w:val="single"/>
        </w:rPr>
        <w:t>采用固定单价的总价合同。除设计变更、有效签证和合同约定外，</w:t>
      </w:r>
      <w:r>
        <w:rPr>
          <w:rFonts w:hint="eastAsia" w:ascii="仿宋" w:hAnsi="仿宋" w:eastAsia="仿宋" w:cs="仿宋"/>
          <w:sz w:val="28"/>
          <w:szCs w:val="28"/>
          <w:highlight w:val="none"/>
          <w:u w:val="single"/>
        </w:rPr>
        <w:t>其他包括但不限于人工费、材料费、机械费等一律不予</w:t>
      </w:r>
      <w:r>
        <w:rPr>
          <w:rFonts w:hint="eastAsia" w:ascii="仿宋" w:hAnsi="仿宋" w:eastAsia="仿宋" w:cs="仿宋"/>
          <w:kern w:val="1"/>
          <w:sz w:val="28"/>
          <w:szCs w:val="28"/>
          <w:highlight w:val="none"/>
          <w:u w:val="single"/>
        </w:rPr>
        <w:t xml:space="preserve">调整   </w:t>
      </w:r>
      <w:r>
        <w:rPr>
          <w:rFonts w:hint="eastAsia" w:ascii="仿宋" w:hAnsi="仿宋" w:eastAsia="仿宋" w:cs="仿宋"/>
          <w:kern w:val="1"/>
          <w:sz w:val="28"/>
          <w:szCs w:val="28"/>
          <w:highlight w:val="none"/>
        </w:rPr>
        <w:t>。</w:t>
      </w:r>
    </w:p>
    <w:p w14:paraId="74E1C72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10.2 变更估价</w:t>
      </w:r>
    </w:p>
    <w:p w14:paraId="61D9D37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10.2.1 变更估价原则</w:t>
      </w:r>
    </w:p>
    <w:p w14:paraId="475DAC66">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 xml:space="preserve">关于变更估价的约定: </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5C25130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bookmarkStart w:id="884" w:name="_Toc312677503"/>
      <w:bookmarkEnd w:id="884"/>
      <w:bookmarkStart w:id="885" w:name="_Toc292559907"/>
      <w:bookmarkEnd w:id="885"/>
      <w:bookmarkStart w:id="886" w:name="_Toc296944536"/>
      <w:bookmarkEnd w:id="886"/>
      <w:bookmarkStart w:id="887" w:name="_Toc296891237"/>
      <w:bookmarkEnd w:id="887"/>
      <w:bookmarkStart w:id="888" w:name="_Toc297216203"/>
      <w:bookmarkEnd w:id="888"/>
      <w:bookmarkStart w:id="889" w:name="_Toc292559402"/>
      <w:bookmarkEnd w:id="889"/>
      <w:bookmarkStart w:id="890" w:name="_Toc303539150"/>
      <w:bookmarkEnd w:id="890"/>
      <w:bookmarkStart w:id="891" w:name="_Toc297048383"/>
      <w:bookmarkEnd w:id="891"/>
      <w:bookmarkStart w:id="892" w:name="_Toc300934993"/>
      <w:bookmarkEnd w:id="892"/>
      <w:bookmarkStart w:id="893" w:name="_Toc296347196"/>
      <w:bookmarkEnd w:id="893"/>
      <w:bookmarkStart w:id="894" w:name="_Toc304295570"/>
      <w:bookmarkEnd w:id="894"/>
      <w:bookmarkStart w:id="895" w:name="_Toc296503197"/>
      <w:bookmarkEnd w:id="895"/>
      <w:bookmarkStart w:id="896" w:name="_Toc312678029"/>
      <w:bookmarkEnd w:id="896"/>
      <w:bookmarkStart w:id="897" w:name="_Toc296346698"/>
      <w:bookmarkEnd w:id="897"/>
      <w:bookmarkStart w:id="898" w:name="_Toc297120497"/>
      <w:bookmarkEnd w:id="898"/>
      <w:bookmarkStart w:id="899" w:name="_Toc297123544"/>
      <w:bookmarkEnd w:id="899"/>
      <w:bookmarkStart w:id="900" w:name="_Toc296891025"/>
      <w:bookmarkEnd w:id="900"/>
      <w:r>
        <w:rPr>
          <w:rFonts w:hint="eastAsia" w:ascii="仿宋" w:hAnsi="仿宋" w:eastAsia="仿宋" w:cs="仿宋"/>
          <w:kern w:val="1"/>
          <w:sz w:val="28"/>
          <w:szCs w:val="28"/>
          <w:highlight w:val="none"/>
        </w:rPr>
        <w:t>0.3承</w:t>
      </w:r>
      <w:bookmarkStart w:id="901" w:name="_Toc297120503"/>
      <w:bookmarkEnd w:id="901"/>
      <w:bookmarkStart w:id="902" w:name="_Toc296347202"/>
      <w:bookmarkEnd w:id="902"/>
      <w:bookmarkStart w:id="903" w:name="_Toc297048389"/>
      <w:bookmarkEnd w:id="903"/>
      <w:bookmarkStart w:id="904" w:name="_Toc296891031"/>
      <w:bookmarkEnd w:id="904"/>
      <w:bookmarkStart w:id="905" w:name="_Toc296346704"/>
      <w:bookmarkEnd w:id="905"/>
      <w:bookmarkStart w:id="906" w:name="_Toc292559913"/>
      <w:bookmarkEnd w:id="906"/>
      <w:bookmarkStart w:id="907" w:name="_Toc303539151"/>
      <w:bookmarkEnd w:id="907"/>
      <w:bookmarkStart w:id="908" w:name="_Toc292559408"/>
      <w:bookmarkEnd w:id="908"/>
      <w:bookmarkStart w:id="909" w:name="_Toc297123545"/>
      <w:bookmarkEnd w:id="909"/>
      <w:bookmarkStart w:id="910" w:name="_Toc297216204"/>
      <w:bookmarkEnd w:id="910"/>
      <w:bookmarkStart w:id="911" w:name="_Toc300934994"/>
      <w:bookmarkEnd w:id="911"/>
      <w:bookmarkStart w:id="912" w:name="_Toc296944542"/>
      <w:bookmarkEnd w:id="912"/>
      <w:bookmarkStart w:id="913" w:name="_Toc296503203"/>
      <w:bookmarkEnd w:id="913"/>
      <w:bookmarkStart w:id="914" w:name="_Toc296891243"/>
      <w:bookmarkEnd w:id="914"/>
      <w:r>
        <w:rPr>
          <w:rFonts w:hint="eastAsia" w:ascii="仿宋" w:hAnsi="仿宋" w:eastAsia="仿宋" w:cs="仿宋"/>
          <w:kern w:val="1"/>
          <w:sz w:val="28"/>
          <w:szCs w:val="28"/>
          <w:highlight w:val="none"/>
        </w:rPr>
        <w:t>包人的合理化建议</w:t>
      </w:r>
    </w:p>
    <w:p w14:paraId="6BD9396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监理人审查承包人合理化建议的期限：</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72C05B4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发包人审批承包人合理化建议的期限：</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1C51D2D7">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承</w:t>
      </w:r>
      <w:bookmarkStart w:id="915" w:name="_Toc296944543"/>
      <w:bookmarkEnd w:id="915"/>
      <w:bookmarkStart w:id="916" w:name="_Toc304295571"/>
      <w:bookmarkEnd w:id="916"/>
      <w:bookmarkStart w:id="917" w:name="_Toc312678030"/>
      <w:bookmarkEnd w:id="917"/>
      <w:bookmarkStart w:id="918" w:name="_Toc296503204"/>
      <w:bookmarkEnd w:id="918"/>
      <w:bookmarkStart w:id="919" w:name="_Toc297123546"/>
      <w:bookmarkEnd w:id="919"/>
      <w:bookmarkStart w:id="920" w:name="_Toc292559409"/>
      <w:bookmarkEnd w:id="920"/>
      <w:bookmarkStart w:id="921" w:name="_Toc312677504"/>
      <w:bookmarkEnd w:id="921"/>
      <w:bookmarkStart w:id="922" w:name="_Toc318581175"/>
      <w:bookmarkEnd w:id="922"/>
      <w:bookmarkStart w:id="923" w:name="_Toc296891032"/>
      <w:bookmarkEnd w:id="923"/>
      <w:bookmarkStart w:id="924" w:name="_Toc297120504"/>
      <w:bookmarkEnd w:id="924"/>
      <w:bookmarkStart w:id="925" w:name="_Toc303539152"/>
      <w:bookmarkEnd w:id="925"/>
      <w:bookmarkStart w:id="926" w:name="_Toc296891244"/>
      <w:bookmarkEnd w:id="926"/>
      <w:bookmarkStart w:id="927" w:name="_Toc297216205"/>
      <w:bookmarkEnd w:id="927"/>
      <w:bookmarkStart w:id="928" w:name="_Toc292559914"/>
      <w:bookmarkEnd w:id="928"/>
      <w:bookmarkStart w:id="929" w:name="_Toc297048390"/>
      <w:bookmarkEnd w:id="929"/>
      <w:bookmarkStart w:id="930" w:name="_Toc300934995"/>
      <w:bookmarkEnd w:id="930"/>
      <w:bookmarkStart w:id="931" w:name="_Toc296347203"/>
      <w:bookmarkEnd w:id="931"/>
      <w:bookmarkStart w:id="932" w:name="_Toc296346705"/>
      <w:bookmarkEnd w:id="932"/>
      <w:r>
        <w:rPr>
          <w:rFonts w:hint="eastAsia" w:ascii="仿宋" w:hAnsi="仿宋" w:eastAsia="仿宋" w:cs="仿宋"/>
          <w:kern w:val="1"/>
          <w:sz w:val="28"/>
          <w:szCs w:val="28"/>
          <w:highlight w:val="none"/>
        </w:rPr>
        <w:t>包人提出的合理化建议降低了合同价格或者提高了工程经济效益的奖励的方法和金额为：</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2F4277B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bookmarkStart w:id="933" w:name="_Toc312677507"/>
      <w:bookmarkEnd w:id="933"/>
      <w:bookmarkStart w:id="934" w:name="_Toc297216207"/>
      <w:bookmarkEnd w:id="934"/>
      <w:bookmarkStart w:id="935" w:name="_Toc297048385"/>
      <w:bookmarkEnd w:id="935"/>
      <w:bookmarkStart w:id="936" w:name="_Toc296891027"/>
      <w:bookmarkEnd w:id="936"/>
      <w:bookmarkStart w:id="937" w:name="_Toc296346700"/>
      <w:bookmarkEnd w:id="937"/>
      <w:bookmarkStart w:id="938" w:name="_Toc303539154"/>
      <w:bookmarkEnd w:id="938"/>
      <w:bookmarkStart w:id="939" w:name="_Toc296347198"/>
      <w:bookmarkEnd w:id="939"/>
      <w:bookmarkStart w:id="940" w:name="_Toc296503199"/>
      <w:bookmarkEnd w:id="940"/>
      <w:bookmarkStart w:id="941" w:name="_Toc297120499"/>
      <w:bookmarkEnd w:id="941"/>
      <w:bookmarkStart w:id="942" w:name="_Toc312678033"/>
      <w:bookmarkEnd w:id="942"/>
      <w:bookmarkStart w:id="943" w:name="_Toc292559404"/>
      <w:bookmarkEnd w:id="943"/>
      <w:bookmarkStart w:id="944" w:name="_Toc297123548"/>
      <w:bookmarkEnd w:id="944"/>
      <w:bookmarkStart w:id="945" w:name="_Toc296891239"/>
      <w:bookmarkEnd w:id="945"/>
      <w:bookmarkStart w:id="946" w:name="_Toc300934997"/>
      <w:bookmarkEnd w:id="946"/>
      <w:bookmarkStart w:id="947" w:name="_Toc292559909"/>
      <w:bookmarkEnd w:id="947"/>
      <w:bookmarkStart w:id="948" w:name="_Toc296944538"/>
      <w:bookmarkEnd w:id="948"/>
      <w:bookmarkStart w:id="949" w:name="_Toc304295574"/>
      <w:bookmarkEnd w:id="949"/>
      <w:r>
        <w:rPr>
          <w:rFonts w:hint="eastAsia" w:ascii="仿宋" w:hAnsi="仿宋" w:eastAsia="仿宋" w:cs="仿宋"/>
          <w:kern w:val="1"/>
          <w:sz w:val="28"/>
          <w:szCs w:val="28"/>
          <w:highlight w:val="none"/>
        </w:rPr>
        <w:t>0.4 暂估价</w:t>
      </w:r>
    </w:p>
    <w:p w14:paraId="77B6919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暂</w:t>
      </w:r>
      <w:bookmarkStart w:id="950" w:name="_Toc318581176"/>
      <w:bookmarkEnd w:id="950"/>
      <w:bookmarkStart w:id="951" w:name="_Toc312678034"/>
      <w:bookmarkEnd w:id="951"/>
      <w:bookmarkStart w:id="952" w:name="_Toc312677508"/>
      <w:bookmarkEnd w:id="952"/>
      <w:r>
        <w:rPr>
          <w:rFonts w:hint="eastAsia" w:ascii="仿宋" w:hAnsi="仿宋" w:eastAsia="仿宋" w:cs="仿宋"/>
          <w:kern w:val="1"/>
          <w:sz w:val="28"/>
          <w:szCs w:val="28"/>
          <w:highlight w:val="none"/>
        </w:rPr>
        <w:t>估价材料和工程设备的明细详见附件11：《暂估价一览表》。</w:t>
      </w:r>
    </w:p>
    <w:p w14:paraId="12ED2C2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w:t>
      </w:r>
      <w:bookmarkStart w:id="953" w:name="_Toc312677509"/>
      <w:bookmarkEnd w:id="953"/>
      <w:bookmarkStart w:id="954" w:name="_Toc318581177"/>
      <w:bookmarkEnd w:id="954"/>
      <w:bookmarkStart w:id="955" w:name="_Toc312678035"/>
      <w:bookmarkEnd w:id="955"/>
      <w:r>
        <w:rPr>
          <w:rFonts w:hint="eastAsia" w:ascii="仿宋" w:hAnsi="仿宋" w:eastAsia="仿宋" w:cs="仿宋"/>
          <w:kern w:val="1"/>
          <w:sz w:val="28"/>
          <w:szCs w:val="28"/>
          <w:highlight w:val="none"/>
        </w:rPr>
        <w:t>0.4.1 依法必须招标的暂估价项目</w:t>
      </w:r>
    </w:p>
    <w:p w14:paraId="3A2672F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对于依法必须招标的暂估价项目的确认和批准采取第</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种方式确定。</w:t>
      </w:r>
    </w:p>
    <w:p w14:paraId="58FDB67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10.4.2 不属于依法必须招标的暂估价项目</w:t>
      </w:r>
    </w:p>
    <w:p w14:paraId="3B59223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承包人直接实施的暂估价项目的约定：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007E1FE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10.5 暂列金额</w:t>
      </w:r>
    </w:p>
    <w:p w14:paraId="3A22F71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合同当事人关于暂列金额使用的约定：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6F980284">
      <w:pPr>
        <w:spacing w:line="360" w:lineRule="auto"/>
        <w:ind w:firstLine="560" w:firstLineChars="200"/>
        <w:rPr>
          <w:rFonts w:hint="eastAsia" w:ascii="仿宋" w:hAnsi="仿宋" w:eastAsia="仿宋" w:cs="仿宋"/>
          <w:kern w:val="1"/>
          <w:sz w:val="28"/>
          <w:szCs w:val="28"/>
          <w:highlight w:val="none"/>
        </w:rPr>
      </w:pPr>
      <w:bookmarkStart w:id="956" w:name="_Toc351203643"/>
      <w:bookmarkEnd w:id="956"/>
      <w:r>
        <w:rPr>
          <w:rFonts w:hint="eastAsia" w:ascii="仿宋" w:hAnsi="仿宋" w:eastAsia="仿宋" w:cs="仿宋"/>
          <w:kern w:val="1"/>
          <w:sz w:val="28"/>
          <w:szCs w:val="28"/>
          <w:highlight w:val="none"/>
        </w:rPr>
        <w:t>11. 价格调整</w:t>
      </w:r>
    </w:p>
    <w:p w14:paraId="1F094983">
      <w:pPr>
        <w:spacing w:line="360" w:lineRule="auto"/>
        <w:ind w:firstLine="560" w:firstLineChars="200"/>
        <w:rPr>
          <w:rFonts w:hint="eastAsia" w:ascii="仿宋" w:hAnsi="仿宋" w:eastAsia="仿宋" w:cs="仿宋"/>
          <w:kern w:val="1"/>
          <w:sz w:val="28"/>
          <w:szCs w:val="28"/>
          <w:highlight w:val="none"/>
        </w:rPr>
      </w:pPr>
      <w:bookmarkStart w:id="957" w:name="_Toc312678039"/>
      <w:bookmarkEnd w:id="957"/>
      <w:bookmarkStart w:id="958" w:name="_Toc297048387"/>
      <w:bookmarkEnd w:id="958"/>
      <w:bookmarkStart w:id="959" w:name="_Toc296347200"/>
      <w:bookmarkEnd w:id="959"/>
      <w:bookmarkStart w:id="960" w:name="_Toc300935000"/>
      <w:bookmarkEnd w:id="960"/>
      <w:bookmarkStart w:id="961" w:name="_Toc304295577"/>
      <w:bookmarkEnd w:id="961"/>
      <w:bookmarkStart w:id="962" w:name="_Toc296944540"/>
      <w:bookmarkEnd w:id="962"/>
      <w:bookmarkStart w:id="963" w:name="_Toc292559911"/>
      <w:bookmarkEnd w:id="963"/>
      <w:bookmarkStart w:id="964" w:name="_Toc292559406"/>
      <w:bookmarkEnd w:id="964"/>
      <w:bookmarkStart w:id="965" w:name="_Toc296891241"/>
      <w:bookmarkEnd w:id="965"/>
      <w:bookmarkStart w:id="966" w:name="_Toc297123550"/>
      <w:bookmarkEnd w:id="966"/>
      <w:bookmarkStart w:id="967" w:name="_Toc303539157"/>
      <w:bookmarkEnd w:id="967"/>
      <w:bookmarkStart w:id="968" w:name="_Toc296346702"/>
      <w:bookmarkEnd w:id="968"/>
      <w:bookmarkStart w:id="969" w:name="_Toc297120501"/>
      <w:bookmarkEnd w:id="969"/>
      <w:bookmarkStart w:id="970" w:name="_Toc296891029"/>
      <w:bookmarkEnd w:id="970"/>
      <w:bookmarkStart w:id="971" w:name="_Toc296503201"/>
      <w:bookmarkEnd w:id="971"/>
      <w:bookmarkStart w:id="972" w:name="_Toc297216209"/>
      <w:bookmarkEnd w:id="972"/>
      <w:r>
        <w:rPr>
          <w:rFonts w:hint="eastAsia" w:ascii="仿宋" w:hAnsi="仿宋" w:eastAsia="仿宋" w:cs="仿宋"/>
          <w:kern w:val="1"/>
          <w:sz w:val="28"/>
          <w:szCs w:val="28"/>
          <w:highlight w:val="none"/>
        </w:rPr>
        <w:t>11.1 市场价格波动引起的调整</w:t>
      </w:r>
    </w:p>
    <w:p w14:paraId="79D7738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1"/>
          <w:sz w:val="28"/>
          <w:szCs w:val="28"/>
          <w:highlight w:val="none"/>
        </w:rPr>
        <w:t>市场价格波动是否调整合同价格的约定：</w:t>
      </w:r>
      <w:r>
        <w:rPr>
          <w:rFonts w:hint="eastAsia" w:ascii="仿宋" w:hAnsi="仿宋" w:eastAsia="仿宋" w:cs="仿宋"/>
          <w:kern w:val="1"/>
          <w:sz w:val="28"/>
          <w:szCs w:val="28"/>
          <w:highlight w:val="none"/>
          <w:u w:val="single"/>
        </w:rPr>
        <w:t>从工程投标截止日到工程竣工期间材料价格、人工费、机械费等一律不作调整。</w:t>
      </w:r>
    </w:p>
    <w:p w14:paraId="4F8AEF7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因市场价格波动调整合同价格，采用以下第</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种方式对合同价格进行调整：</w:t>
      </w:r>
    </w:p>
    <w:p w14:paraId="5D717FA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第1种方式：采用价格指数进行价格调整。</w:t>
      </w:r>
    </w:p>
    <w:p w14:paraId="2A8DA0B2">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关于各可调因子、定值和变值权重，以及基本价格指数及其来源的约定：</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 xml:space="preserve">；  </w:t>
      </w:r>
    </w:p>
    <w:p w14:paraId="0D2A8E0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第2种方式：采用造价信息进行价格调整。</w:t>
      </w:r>
    </w:p>
    <w:p w14:paraId="5A4B560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 xml:space="preserve">关于基准价格的约定：  </w:t>
      </w:r>
      <w:r>
        <w:rPr>
          <w:rFonts w:hint="eastAsia" w:ascii="仿宋" w:hAnsi="仿宋" w:eastAsia="仿宋" w:cs="仿宋"/>
          <w:kern w:val="1"/>
          <w:sz w:val="28"/>
          <w:szCs w:val="28"/>
          <w:highlight w:val="none"/>
          <w:u w:val="single"/>
        </w:rPr>
        <w:t xml:space="preserve">      /    </w:t>
      </w:r>
      <w:r>
        <w:rPr>
          <w:rFonts w:hint="eastAsia" w:ascii="仿宋" w:hAnsi="仿宋" w:eastAsia="仿宋" w:cs="仿宋"/>
          <w:sz w:val="28"/>
          <w:szCs w:val="28"/>
          <w:highlight w:val="none"/>
          <w:u w:val="single"/>
        </w:rPr>
        <w:t>。</w:t>
      </w:r>
    </w:p>
    <w:p w14:paraId="6F2D754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%时，或材料单价跌幅以已标价工程量清单或预算书中载明材料单价为基础超过</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%时，一律不予调整。</w:t>
      </w:r>
    </w:p>
    <w:p w14:paraId="60D50A5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%时，材料单价涨幅以已标价工程量清单或预算书中载明材料单价为基础超过</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%时，一律不予调整。</w:t>
      </w:r>
    </w:p>
    <w:p w14:paraId="54E8BB0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kern w:val="1"/>
          <w:sz w:val="28"/>
          <w:szCs w:val="28"/>
          <w:highlight w:val="none"/>
          <w:u w:val="single"/>
        </w:rPr>
        <w:t>/</w:t>
      </w:r>
      <w:r>
        <w:rPr>
          <w:rFonts w:hint="eastAsia" w:ascii="仿宋" w:hAnsi="仿宋" w:eastAsia="仿宋" w:cs="仿宋"/>
          <w:kern w:val="1"/>
          <w:sz w:val="28"/>
          <w:szCs w:val="28"/>
          <w:highlight w:val="none"/>
        </w:rPr>
        <w:t>%时，一律不予调整。</w:t>
      </w:r>
    </w:p>
    <w:p w14:paraId="28DF1CB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第3种方式：其他价格调整方式：</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0F071CE7">
      <w:pPr>
        <w:spacing w:line="360" w:lineRule="auto"/>
        <w:ind w:firstLine="560" w:firstLineChars="200"/>
        <w:rPr>
          <w:rFonts w:hint="eastAsia" w:ascii="仿宋" w:hAnsi="仿宋" w:eastAsia="仿宋" w:cs="仿宋"/>
          <w:kern w:val="1"/>
          <w:sz w:val="28"/>
          <w:szCs w:val="28"/>
          <w:highlight w:val="none"/>
        </w:rPr>
      </w:pPr>
      <w:bookmarkStart w:id="973" w:name="_Toc297216211"/>
      <w:bookmarkEnd w:id="973"/>
      <w:bookmarkStart w:id="974" w:name="_Toc292559410"/>
      <w:bookmarkEnd w:id="974"/>
      <w:bookmarkStart w:id="975" w:name="_Toc296346706"/>
      <w:bookmarkEnd w:id="975"/>
      <w:bookmarkStart w:id="976" w:name="_Toc300935002"/>
      <w:bookmarkEnd w:id="976"/>
      <w:bookmarkStart w:id="977" w:name="_Toc297120505"/>
      <w:bookmarkEnd w:id="977"/>
      <w:bookmarkStart w:id="978" w:name="_Toc296944544"/>
      <w:bookmarkEnd w:id="978"/>
      <w:bookmarkStart w:id="979" w:name="_Toc312678040"/>
      <w:bookmarkEnd w:id="979"/>
      <w:bookmarkStart w:id="980" w:name="_Toc297048391"/>
      <w:bookmarkEnd w:id="980"/>
      <w:bookmarkStart w:id="981" w:name="_Toc296891033"/>
      <w:bookmarkEnd w:id="981"/>
      <w:bookmarkStart w:id="982" w:name="_Toc296503205"/>
      <w:bookmarkEnd w:id="982"/>
      <w:bookmarkStart w:id="983" w:name="_Toc292559915"/>
      <w:bookmarkEnd w:id="983"/>
      <w:bookmarkStart w:id="984" w:name="_Toc303539159"/>
      <w:bookmarkEnd w:id="984"/>
      <w:bookmarkStart w:id="985" w:name="_Toc296891245"/>
      <w:bookmarkEnd w:id="985"/>
      <w:bookmarkStart w:id="986" w:name="_Toc351203644"/>
      <w:bookmarkEnd w:id="986"/>
      <w:bookmarkStart w:id="987" w:name="_Toc304295579"/>
      <w:bookmarkEnd w:id="987"/>
      <w:bookmarkStart w:id="988" w:name="_Toc297123552"/>
      <w:bookmarkEnd w:id="988"/>
      <w:bookmarkStart w:id="989" w:name="_Toc296347204"/>
      <w:bookmarkEnd w:id="989"/>
      <w:r>
        <w:rPr>
          <w:rFonts w:hint="eastAsia" w:ascii="仿宋" w:hAnsi="仿宋" w:eastAsia="仿宋" w:cs="仿宋"/>
          <w:kern w:val="1"/>
          <w:sz w:val="28"/>
          <w:szCs w:val="28"/>
          <w:highlight w:val="none"/>
        </w:rPr>
        <w:t>12. 合同价格、计量与支付</w:t>
      </w:r>
    </w:p>
    <w:p w14:paraId="01661B7D">
      <w:pPr>
        <w:spacing w:line="360" w:lineRule="auto"/>
        <w:ind w:firstLine="560" w:firstLineChars="200"/>
        <w:outlineLvl w:val="0"/>
        <w:rPr>
          <w:rFonts w:hint="eastAsia" w:ascii="仿宋" w:hAnsi="仿宋" w:eastAsia="仿宋" w:cs="仿宋"/>
          <w:kern w:val="1"/>
          <w:sz w:val="28"/>
          <w:szCs w:val="28"/>
          <w:highlight w:val="none"/>
        </w:rPr>
      </w:pPr>
      <w:bookmarkStart w:id="990" w:name="_Toc292559411"/>
      <w:bookmarkEnd w:id="990"/>
      <w:bookmarkStart w:id="991" w:name="_Toc297123553"/>
      <w:bookmarkEnd w:id="991"/>
      <w:bookmarkStart w:id="992" w:name="_Toc296503206"/>
      <w:bookmarkEnd w:id="992"/>
      <w:bookmarkStart w:id="993" w:name="_Toc267251461"/>
      <w:bookmarkEnd w:id="993"/>
      <w:bookmarkStart w:id="994" w:name="_Toc296891246"/>
      <w:bookmarkEnd w:id="994"/>
      <w:bookmarkStart w:id="995" w:name="_Toc296346707"/>
      <w:bookmarkEnd w:id="995"/>
      <w:bookmarkStart w:id="996" w:name="_Toc292559916"/>
      <w:bookmarkEnd w:id="996"/>
      <w:bookmarkStart w:id="997" w:name="_Toc300935003"/>
      <w:bookmarkEnd w:id="997"/>
      <w:bookmarkStart w:id="998" w:name="_Toc312678041"/>
      <w:bookmarkEnd w:id="998"/>
      <w:bookmarkStart w:id="999" w:name="_Toc297120506"/>
      <w:bookmarkEnd w:id="999"/>
      <w:bookmarkStart w:id="1000" w:name="_Toc304295580"/>
      <w:bookmarkEnd w:id="1000"/>
      <w:bookmarkStart w:id="1001" w:name="_Toc296891034"/>
      <w:bookmarkEnd w:id="1001"/>
      <w:bookmarkStart w:id="1002" w:name="_Toc296944545"/>
      <w:bookmarkEnd w:id="1002"/>
      <w:bookmarkStart w:id="1003" w:name="_Toc296347205"/>
      <w:bookmarkEnd w:id="1003"/>
      <w:bookmarkStart w:id="1004" w:name="_Toc297216212"/>
      <w:bookmarkEnd w:id="1004"/>
      <w:bookmarkStart w:id="1005" w:name="_Toc303539160"/>
      <w:bookmarkEnd w:id="1005"/>
      <w:bookmarkStart w:id="1006" w:name="_Toc297048392"/>
      <w:bookmarkEnd w:id="1006"/>
      <w:bookmarkStart w:id="1007" w:name="_Toc4372"/>
      <w:bookmarkStart w:id="1008" w:name="_Toc30772"/>
      <w:bookmarkStart w:id="1009" w:name="_Toc2055"/>
      <w:r>
        <w:rPr>
          <w:rFonts w:hint="eastAsia" w:ascii="仿宋" w:hAnsi="仿宋" w:eastAsia="仿宋" w:cs="仿宋"/>
          <w:kern w:val="1"/>
          <w:sz w:val="28"/>
          <w:szCs w:val="28"/>
          <w:highlight w:val="none"/>
        </w:rPr>
        <w:t>12.1 合同价格形式</w:t>
      </w:r>
      <w:bookmarkEnd w:id="1007"/>
      <w:bookmarkEnd w:id="1008"/>
      <w:bookmarkEnd w:id="1009"/>
    </w:p>
    <w:p w14:paraId="5BE73C6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1、单价合同。</w:t>
      </w:r>
    </w:p>
    <w:p w14:paraId="36112CB3">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综合单价包含的风险范围：</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271FF63C">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风险费用的计算方法：</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7B17C11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风险范围以外合同价格的调整方法：</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284B14A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2、总价合同。</w:t>
      </w:r>
    </w:p>
    <w:p w14:paraId="30C1AC1C">
      <w:pPr>
        <w:spacing w:line="360" w:lineRule="auto"/>
        <w:ind w:firstLine="560" w:firstLineChars="200"/>
        <w:rPr>
          <w:rFonts w:hint="eastAsia" w:ascii="仿宋" w:hAnsi="仿宋" w:eastAsia="仿宋" w:cs="仿宋"/>
          <w:b/>
          <w:color w:val="FF0000"/>
          <w:sz w:val="28"/>
          <w:szCs w:val="28"/>
          <w:highlight w:val="none"/>
        </w:rPr>
      </w:pPr>
      <w:r>
        <w:rPr>
          <w:rFonts w:hint="eastAsia" w:ascii="仿宋" w:hAnsi="仿宋" w:eastAsia="仿宋" w:cs="仿宋"/>
          <w:kern w:val="1"/>
          <w:sz w:val="28"/>
          <w:szCs w:val="28"/>
          <w:highlight w:val="none"/>
        </w:rPr>
        <w:t>总价包含的风险范围：</w:t>
      </w:r>
      <w:r>
        <w:rPr>
          <w:rFonts w:hint="eastAsia" w:ascii="仿宋" w:hAnsi="仿宋" w:eastAsia="仿宋" w:cs="仿宋"/>
          <w:kern w:val="1"/>
          <w:sz w:val="28"/>
          <w:szCs w:val="28"/>
          <w:highlight w:val="none"/>
          <w:u w:val="single"/>
        </w:rPr>
        <w:t xml:space="preserve">    人工、材料、机械费用等一律不作调整     </w:t>
      </w:r>
      <w:r>
        <w:rPr>
          <w:rFonts w:hint="eastAsia" w:ascii="仿宋" w:hAnsi="仿宋" w:eastAsia="仿宋" w:cs="仿宋"/>
          <w:sz w:val="28"/>
          <w:szCs w:val="28"/>
          <w:highlight w:val="none"/>
        </w:rPr>
        <w:t>。</w:t>
      </w:r>
    </w:p>
    <w:p w14:paraId="523F4919">
      <w:pPr>
        <w:spacing w:line="360" w:lineRule="auto"/>
        <w:ind w:firstLine="560" w:firstLineChars="200"/>
        <w:jc w:val="left"/>
        <w:rPr>
          <w:rFonts w:hint="eastAsia" w:ascii="仿宋" w:hAnsi="仿宋" w:eastAsia="仿宋" w:cs="仿宋"/>
          <w:kern w:val="1"/>
          <w:sz w:val="28"/>
          <w:szCs w:val="28"/>
          <w:highlight w:val="none"/>
        </w:rPr>
      </w:pPr>
      <w:r>
        <w:rPr>
          <w:rFonts w:hint="eastAsia" w:ascii="仿宋" w:hAnsi="仿宋" w:eastAsia="仿宋" w:cs="仿宋"/>
          <w:color w:val="000000"/>
          <w:sz w:val="28"/>
          <w:szCs w:val="28"/>
          <w:highlight w:val="none"/>
        </w:rPr>
        <w:t>风险费用的计算方法:</w:t>
      </w:r>
      <w:r>
        <w:rPr>
          <w:rFonts w:hint="eastAsia" w:ascii="仿宋" w:hAnsi="仿宋" w:eastAsia="仿宋" w:cs="仿宋"/>
          <w:kern w:val="1"/>
          <w:sz w:val="28"/>
          <w:szCs w:val="28"/>
          <w:highlight w:val="none"/>
          <w:u w:val="single"/>
        </w:rPr>
        <w:t xml:space="preserve">     </w:t>
      </w:r>
      <w:r>
        <w:rPr>
          <w:rFonts w:hint="eastAsia" w:ascii="仿宋" w:hAnsi="仿宋" w:eastAsia="仿宋" w:cs="仿宋"/>
          <w:sz w:val="28"/>
          <w:szCs w:val="28"/>
          <w:highlight w:val="none"/>
          <w:u w:val="single"/>
        </w:rPr>
        <w:t>供应商在投标报价时已经考虑，不再另行计取</w:t>
      </w:r>
      <w:r>
        <w:rPr>
          <w:rFonts w:hint="eastAsia" w:ascii="仿宋" w:hAnsi="仿宋" w:eastAsia="仿宋" w:cs="仿宋"/>
          <w:kern w:val="1"/>
          <w:sz w:val="28"/>
          <w:szCs w:val="28"/>
          <w:highlight w:val="none"/>
          <w:u w:val="single"/>
        </w:rPr>
        <w:t xml:space="preserve">    </w:t>
      </w:r>
      <w:r>
        <w:rPr>
          <w:rFonts w:hint="eastAsia" w:ascii="仿宋" w:hAnsi="仿宋" w:eastAsia="仿宋" w:cs="仿宋"/>
          <w:sz w:val="28"/>
          <w:szCs w:val="28"/>
          <w:highlight w:val="none"/>
        </w:rPr>
        <w:t>。</w:t>
      </w:r>
    </w:p>
    <w:p w14:paraId="327729F8">
      <w:pPr>
        <w:spacing w:line="360" w:lineRule="auto"/>
        <w:ind w:firstLine="560" w:firstLineChars="200"/>
        <w:rPr>
          <w:rFonts w:hint="eastAsia" w:ascii="仿宋" w:hAnsi="仿宋" w:eastAsia="仿宋" w:cs="仿宋"/>
          <w:b/>
          <w:color w:val="FF0000"/>
          <w:sz w:val="28"/>
          <w:szCs w:val="28"/>
          <w:highlight w:val="none"/>
        </w:rPr>
      </w:pPr>
      <w:r>
        <w:rPr>
          <w:rFonts w:hint="eastAsia" w:ascii="仿宋" w:hAnsi="仿宋" w:eastAsia="仿宋" w:cs="仿宋"/>
          <w:kern w:val="1"/>
          <w:sz w:val="28"/>
          <w:szCs w:val="28"/>
          <w:highlight w:val="none"/>
        </w:rPr>
        <w:t>风险范围以外合同价款调整方法：</w:t>
      </w:r>
      <w:r>
        <w:rPr>
          <w:rFonts w:hint="eastAsia" w:ascii="仿宋" w:hAnsi="仿宋" w:eastAsia="仿宋" w:cs="仿宋"/>
          <w:kern w:val="1"/>
          <w:sz w:val="28"/>
          <w:szCs w:val="28"/>
          <w:highlight w:val="none"/>
          <w:u w:val="single"/>
        </w:rPr>
        <w:t xml:space="preserve">  </w:t>
      </w:r>
      <w:r>
        <w:rPr>
          <w:rFonts w:hint="eastAsia" w:ascii="仿宋" w:hAnsi="仿宋" w:eastAsia="仿宋" w:cs="仿宋"/>
          <w:sz w:val="28"/>
          <w:szCs w:val="28"/>
          <w:highlight w:val="none"/>
          <w:u w:val="single"/>
        </w:rPr>
        <w:t>合同价±设计变更±合同约定调整内容</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u w:val="none"/>
        </w:rPr>
        <w:t>。</w:t>
      </w:r>
    </w:p>
    <w:p w14:paraId="5662166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本项</w:t>
      </w:r>
      <w:r>
        <w:rPr>
          <w:rFonts w:hint="eastAsia" w:ascii="仿宋" w:hAnsi="仿宋" w:eastAsia="仿宋" w:cs="仿宋"/>
          <w:sz w:val="28"/>
          <w:szCs w:val="28"/>
          <w:highlight w:val="none"/>
        </w:rPr>
        <w:t>目采用标前核项核量的方式，即开标前对清单项（含核漏项）、项目名称、项目特征、工作内容、计量单位、工程量偏差进行核对。</w:t>
      </w:r>
    </w:p>
    <w:p w14:paraId="43FDA2E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供应商提出工程量清单调整（或异议）的截止时间：投标截止时间5 日前（提供书面清单特征描述不符的依据或工程量计算书）。</w:t>
      </w:r>
    </w:p>
    <w:p w14:paraId="3FC9A20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由采购人或其委托的造价咨询单位编制的工程量清单，作为本次招标（采购）的基础依据，工程量清单的清单项、项目名称、项目特征描述、工作内容、计量单位等内容均是按图纸、磋商文件等相关资料编制，供应商要认真核对，如有疑问在投标截止时间 5日前网上提出；中标后以上内容均不再核对，中标人应按图纸、磋商文件、答疑等相关资料要求内容完成，项目实施过程中所报综合单价不调整。投标（中标）单位因没有按照上述要求校核施工图纸和工程量清单造成的一切后果和责任自行承担。中标后，图纸、答疑（更正）、磋商文件、工程量清单有不一致时，解释顺序按答疑（更正）、磋商文件、图纸、工程量清单的先后顺序解释。</w:t>
      </w:r>
    </w:p>
    <w:p w14:paraId="3B990FB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2、若供应商未在规定时间内进行核对，或者因供应商原因未在规定时间内完成核对，参与本项目投标即视同供应商认可采购人所提供的工程量清单。</w:t>
      </w:r>
    </w:p>
    <w:p w14:paraId="606E731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当分部分项的工程量与经过核对的工程量清单误差在-5%～5%之内（包括±5%），不予调整；超出-5%～5%以外的，经双方共同核对确认后，超出的工程量据实调整。</w:t>
      </w:r>
    </w:p>
    <w:p w14:paraId="24F5991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3、如果施工过程中由于施工条件、地质水文、工程变更、工程量清单中出现缺项、工程量偏差等变化按照以下变更管理办法调整；</w:t>
      </w:r>
    </w:p>
    <w:p w14:paraId="28E2270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已标价工程量清单中有适用于变更工程项目的，应采用该项目的综合单价。 </w:t>
      </w:r>
    </w:p>
    <w:p w14:paraId="1524198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 已标价工程量清单中没有适用但有类似于变更工程项目的，可在合理范围内参照类似项目的综合单价。 </w:t>
      </w:r>
    </w:p>
    <w:p w14:paraId="6A13C0E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已标价工程量清单中没有适用也没有类似于变更工程项目的，供应商根据投标时计价依据和方法，结合投标下浮率计算新的综合单价，报监理单位或造价咨询单位审核，发包人确认。新编综合单价的材料，中标价中有材料价的执行中标材料价（不一致时以低价的为准），中标材料价中没有的，有信息价的按照当期信息价执行，没有信息价的，由发包人、承包人、监理单位、造价咨询单位根据价差调整原则共同询价确定调价方案，发包人拥有最终决定权。</w:t>
      </w:r>
    </w:p>
    <w:p w14:paraId="1F050F5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承包人投标下浮率可按下列公式计算： </w:t>
      </w:r>
    </w:p>
    <w:p w14:paraId="364542E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投标下浮率＝（1－中标价／最高限价）×100%  </w:t>
      </w:r>
    </w:p>
    <w:p w14:paraId="6DE0BE0E">
      <w:pPr>
        <w:spacing w:line="360" w:lineRule="auto"/>
        <w:ind w:firstLine="560" w:firstLineChars="200"/>
        <w:rPr>
          <w:rFonts w:hint="eastAsia" w:ascii="仿宋" w:hAnsi="仿宋" w:eastAsia="仿宋" w:cs="仿宋"/>
          <w:bCs/>
          <w:kern w:val="1"/>
          <w:sz w:val="28"/>
          <w:szCs w:val="28"/>
          <w:highlight w:val="none"/>
        </w:rPr>
      </w:pPr>
      <w:r>
        <w:rPr>
          <w:rFonts w:hint="eastAsia" w:ascii="仿宋" w:hAnsi="仿宋" w:eastAsia="仿宋" w:cs="仿宋"/>
          <w:bCs/>
          <w:kern w:val="1"/>
          <w:sz w:val="28"/>
          <w:szCs w:val="28"/>
          <w:highlight w:val="none"/>
        </w:rPr>
        <w:t>2）承包人中标后，工程量漏报、少报等均视为优惠，不再作为计价的依据。</w:t>
      </w:r>
    </w:p>
    <w:p w14:paraId="3766A801">
      <w:pPr>
        <w:spacing w:line="360" w:lineRule="auto"/>
        <w:ind w:firstLine="560" w:firstLineChars="200"/>
        <w:rPr>
          <w:rFonts w:hint="eastAsia" w:ascii="仿宋" w:hAnsi="仿宋" w:eastAsia="仿宋" w:cs="仿宋"/>
          <w:bCs/>
          <w:kern w:val="1"/>
          <w:sz w:val="28"/>
          <w:szCs w:val="28"/>
          <w:highlight w:val="none"/>
          <w:u w:val="single"/>
        </w:rPr>
      </w:pPr>
      <w:r>
        <w:rPr>
          <w:rFonts w:hint="eastAsia" w:ascii="仿宋" w:hAnsi="仿宋" w:eastAsia="仿宋" w:cs="仿宋"/>
          <w:bCs/>
          <w:kern w:val="1"/>
          <w:sz w:val="28"/>
          <w:szCs w:val="28"/>
          <w:highlight w:val="none"/>
        </w:rPr>
        <w:t>3）</w:t>
      </w:r>
      <w:r>
        <w:rPr>
          <w:rFonts w:hint="eastAsia" w:ascii="仿宋" w:hAnsi="仿宋" w:eastAsia="仿宋" w:cs="仿宋"/>
          <w:bCs/>
          <w:kern w:val="1"/>
          <w:sz w:val="28"/>
          <w:szCs w:val="28"/>
          <w:highlight w:val="none"/>
          <w:u w:val="single"/>
        </w:rPr>
        <w:t>因报价时采用的技术措施或组织措施考虑不足，不能满足施工要求需要调整方案，造成费用增加的一律不得调整合同价款。</w:t>
      </w:r>
      <w:r>
        <w:rPr>
          <w:rFonts w:hint="eastAsia" w:ascii="仿宋" w:hAnsi="仿宋" w:eastAsia="仿宋" w:cs="仿宋"/>
          <w:bCs/>
          <w:kern w:val="1"/>
          <w:sz w:val="28"/>
          <w:szCs w:val="28"/>
          <w:highlight w:val="none"/>
        </w:rPr>
        <w:t xml:space="preserve"> </w:t>
      </w:r>
    </w:p>
    <w:p w14:paraId="727B072C">
      <w:pPr>
        <w:spacing w:line="360" w:lineRule="auto"/>
        <w:ind w:firstLine="560" w:firstLineChars="200"/>
        <w:rPr>
          <w:rFonts w:hint="eastAsia" w:ascii="仿宋" w:hAnsi="仿宋" w:eastAsia="仿宋" w:cs="仿宋"/>
          <w:bCs/>
          <w:kern w:val="1"/>
          <w:sz w:val="28"/>
          <w:szCs w:val="28"/>
          <w:highlight w:val="none"/>
          <w:u w:val="single"/>
        </w:rPr>
      </w:pPr>
      <w:r>
        <w:rPr>
          <w:rFonts w:hint="eastAsia" w:ascii="仿宋" w:hAnsi="仿宋" w:eastAsia="仿宋" w:cs="仿宋"/>
          <w:bCs/>
          <w:kern w:val="1"/>
          <w:sz w:val="28"/>
          <w:szCs w:val="28"/>
          <w:highlight w:val="none"/>
        </w:rPr>
        <w:t>4）</w:t>
      </w:r>
      <w:r>
        <w:rPr>
          <w:rFonts w:hint="eastAsia" w:ascii="仿宋" w:hAnsi="仿宋" w:eastAsia="仿宋" w:cs="仿宋"/>
          <w:bCs/>
          <w:kern w:val="1"/>
          <w:sz w:val="28"/>
          <w:szCs w:val="28"/>
          <w:highlight w:val="none"/>
          <w:u w:val="single"/>
        </w:rPr>
        <w:t xml:space="preserve">因天气、地形、地质、施工环境等条件发生变化，采取临时措施增加的费用一律不得调整合同价款。 </w:t>
      </w:r>
    </w:p>
    <w:p w14:paraId="69ED357C">
      <w:pPr>
        <w:spacing w:line="360" w:lineRule="auto"/>
        <w:ind w:firstLine="560" w:firstLineChars="200"/>
        <w:rPr>
          <w:rFonts w:hint="eastAsia" w:ascii="仿宋" w:hAnsi="仿宋" w:eastAsia="仿宋" w:cs="仿宋"/>
          <w:bCs/>
          <w:kern w:val="1"/>
          <w:sz w:val="28"/>
          <w:szCs w:val="28"/>
          <w:highlight w:val="none"/>
        </w:rPr>
      </w:pPr>
      <w:r>
        <w:rPr>
          <w:rFonts w:hint="eastAsia" w:ascii="仿宋" w:hAnsi="仿宋" w:eastAsia="仿宋" w:cs="仿宋"/>
          <w:bCs/>
          <w:kern w:val="1"/>
          <w:sz w:val="28"/>
          <w:szCs w:val="28"/>
          <w:highlight w:val="none"/>
        </w:rPr>
        <w:t>5）</w:t>
      </w:r>
      <w:r>
        <w:rPr>
          <w:rFonts w:hint="eastAsia" w:ascii="仿宋" w:hAnsi="仿宋" w:eastAsia="仿宋" w:cs="仿宋"/>
          <w:bCs/>
          <w:kern w:val="1"/>
          <w:sz w:val="28"/>
          <w:szCs w:val="28"/>
          <w:highlight w:val="none"/>
          <w:u w:val="single"/>
        </w:rPr>
        <w:t>与其他工程施工单位发生交叉作业而增加的费用一律不得调整合同价款。</w:t>
      </w:r>
      <w:r>
        <w:rPr>
          <w:rFonts w:hint="eastAsia" w:ascii="仿宋" w:hAnsi="仿宋" w:eastAsia="仿宋" w:cs="仿宋"/>
          <w:bCs/>
          <w:kern w:val="1"/>
          <w:sz w:val="28"/>
          <w:szCs w:val="28"/>
          <w:highlight w:val="none"/>
        </w:rPr>
        <w:t xml:space="preserve"> </w:t>
      </w:r>
    </w:p>
    <w:p w14:paraId="07F7715C">
      <w:pPr>
        <w:spacing w:line="360" w:lineRule="auto"/>
        <w:ind w:firstLine="560" w:firstLineChars="200"/>
        <w:rPr>
          <w:rFonts w:hint="eastAsia" w:ascii="仿宋" w:hAnsi="仿宋" w:eastAsia="仿宋" w:cs="仿宋"/>
          <w:bCs/>
          <w:kern w:val="1"/>
          <w:sz w:val="28"/>
          <w:szCs w:val="28"/>
          <w:highlight w:val="none"/>
        </w:rPr>
      </w:pPr>
      <w:r>
        <w:rPr>
          <w:rFonts w:hint="eastAsia" w:ascii="仿宋" w:hAnsi="仿宋" w:eastAsia="仿宋" w:cs="仿宋"/>
          <w:bCs/>
          <w:kern w:val="1"/>
          <w:sz w:val="28"/>
          <w:szCs w:val="28"/>
          <w:highlight w:val="none"/>
        </w:rPr>
        <w:t>6）</w:t>
      </w:r>
      <w:r>
        <w:rPr>
          <w:rFonts w:hint="eastAsia" w:ascii="仿宋" w:hAnsi="仿宋" w:eastAsia="仿宋" w:cs="仿宋"/>
          <w:bCs/>
          <w:kern w:val="1"/>
          <w:sz w:val="28"/>
          <w:szCs w:val="28"/>
          <w:highlight w:val="none"/>
          <w:u w:val="single"/>
        </w:rPr>
        <w:t>为保证工程质量采取的所有的技术和组织措施所增加的费用，不论发包人是否同意均不得调整合同价款。</w:t>
      </w:r>
      <w:r>
        <w:rPr>
          <w:rFonts w:hint="eastAsia" w:ascii="仿宋" w:hAnsi="仿宋" w:eastAsia="仿宋" w:cs="仿宋"/>
          <w:bCs/>
          <w:kern w:val="1"/>
          <w:sz w:val="28"/>
          <w:szCs w:val="28"/>
          <w:highlight w:val="none"/>
        </w:rPr>
        <w:t xml:space="preserve"> </w:t>
      </w:r>
    </w:p>
    <w:p w14:paraId="3F226FC4">
      <w:pPr>
        <w:spacing w:line="360" w:lineRule="auto"/>
        <w:ind w:firstLine="560" w:firstLineChars="200"/>
        <w:rPr>
          <w:rFonts w:hint="eastAsia" w:ascii="仿宋" w:hAnsi="仿宋" w:eastAsia="仿宋" w:cs="仿宋"/>
          <w:bCs/>
          <w:kern w:val="1"/>
          <w:sz w:val="28"/>
          <w:szCs w:val="28"/>
          <w:highlight w:val="none"/>
        </w:rPr>
      </w:pPr>
      <w:r>
        <w:rPr>
          <w:rFonts w:hint="eastAsia" w:ascii="仿宋" w:hAnsi="仿宋" w:eastAsia="仿宋" w:cs="仿宋"/>
          <w:bCs/>
          <w:kern w:val="1"/>
          <w:sz w:val="28"/>
          <w:szCs w:val="28"/>
          <w:highlight w:val="none"/>
        </w:rPr>
        <w:t>7）</w:t>
      </w:r>
      <w:r>
        <w:rPr>
          <w:rFonts w:hint="eastAsia" w:ascii="仿宋" w:hAnsi="仿宋" w:eastAsia="仿宋" w:cs="仿宋"/>
          <w:bCs/>
          <w:kern w:val="1"/>
          <w:sz w:val="28"/>
          <w:szCs w:val="28"/>
          <w:highlight w:val="none"/>
          <w:u w:val="single"/>
        </w:rPr>
        <w:t>为应对临时停水、停电，承包人应自备发电设备、取水设备等，所增加费用一律不得调整合同价款。</w:t>
      </w:r>
      <w:r>
        <w:rPr>
          <w:rFonts w:hint="eastAsia" w:ascii="仿宋" w:hAnsi="仿宋" w:eastAsia="仿宋" w:cs="仿宋"/>
          <w:bCs/>
          <w:kern w:val="1"/>
          <w:sz w:val="28"/>
          <w:szCs w:val="28"/>
          <w:highlight w:val="none"/>
        </w:rPr>
        <w:t xml:space="preserve"> </w:t>
      </w:r>
    </w:p>
    <w:p w14:paraId="7FD7E18F">
      <w:pPr>
        <w:spacing w:line="360" w:lineRule="auto"/>
        <w:ind w:firstLine="560" w:firstLineChars="200"/>
        <w:rPr>
          <w:rFonts w:hint="eastAsia" w:ascii="仿宋" w:hAnsi="仿宋" w:eastAsia="仿宋" w:cs="仿宋"/>
          <w:bCs/>
          <w:kern w:val="1"/>
          <w:sz w:val="28"/>
          <w:szCs w:val="28"/>
          <w:highlight w:val="none"/>
          <w:u w:val="single"/>
        </w:rPr>
      </w:pPr>
      <w:r>
        <w:rPr>
          <w:rFonts w:hint="eastAsia" w:ascii="仿宋" w:hAnsi="仿宋" w:eastAsia="仿宋" w:cs="仿宋"/>
          <w:bCs/>
          <w:kern w:val="1"/>
          <w:sz w:val="28"/>
          <w:szCs w:val="28"/>
          <w:highlight w:val="none"/>
        </w:rPr>
        <w:t>8）</w:t>
      </w:r>
      <w:r>
        <w:rPr>
          <w:rFonts w:hint="eastAsia" w:ascii="仿宋" w:hAnsi="仿宋" w:eastAsia="仿宋" w:cs="仿宋"/>
          <w:bCs/>
          <w:kern w:val="1"/>
          <w:sz w:val="28"/>
          <w:szCs w:val="28"/>
          <w:highlight w:val="none"/>
          <w:u w:val="single"/>
        </w:rPr>
        <w:t>施工机械进出场、安装拆卸、移机等不论实际情况如何，均不得调整合同价款。</w:t>
      </w:r>
    </w:p>
    <w:p w14:paraId="2F879CE0">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9）涉及到工程造价变更的签证未经发包人加盖行政公章并经项目负责人签名的签证，一律不增加造价，签证无效。</w:t>
      </w:r>
    </w:p>
    <w:p w14:paraId="2D32AF53">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10）发生工程变更造价的项目必须在施工之前，因情况紧急的并经发包人法定代表人或者项目负责人口头同意后，最迟必须在施工后三日内履行发包人加盖行政公章并经项目负责人共同签章确认，逾期要求签章的，一律不增加造价，签证无效。</w:t>
      </w:r>
    </w:p>
    <w:p w14:paraId="7C6BA166">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3、其他价格方式：</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u w:val="single"/>
          <w:lang w:val="en-US" w:eastAsia="zh-CN"/>
        </w:rPr>
        <w:t xml:space="preserve"> </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6ADB0B43">
      <w:pPr>
        <w:spacing w:line="360" w:lineRule="auto"/>
        <w:ind w:firstLine="560" w:firstLineChars="200"/>
        <w:rPr>
          <w:rFonts w:hint="eastAsia" w:ascii="仿宋" w:hAnsi="仿宋" w:eastAsia="仿宋" w:cs="仿宋"/>
          <w:kern w:val="1"/>
          <w:sz w:val="28"/>
          <w:szCs w:val="28"/>
          <w:highlight w:val="none"/>
        </w:rPr>
      </w:pPr>
      <w:bookmarkStart w:id="1010" w:name="_Toc296346708"/>
      <w:bookmarkEnd w:id="1010"/>
      <w:bookmarkStart w:id="1011" w:name="_Toc292559917"/>
      <w:bookmarkEnd w:id="1011"/>
      <w:bookmarkStart w:id="1012" w:name="_Toc292559412"/>
      <w:bookmarkEnd w:id="1012"/>
      <w:bookmarkStart w:id="1013" w:name="_Toc296503207"/>
      <w:bookmarkEnd w:id="1013"/>
      <w:bookmarkStart w:id="1014" w:name="_Toc296944546"/>
      <w:bookmarkEnd w:id="1014"/>
      <w:bookmarkStart w:id="1015" w:name="_Toc312678042"/>
      <w:bookmarkEnd w:id="1015"/>
      <w:bookmarkStart w:id="1016" w:name="_Toc296347206"/>
      <w:bookmarkEnd w:id="1016"/>
      <w:bookmarkStart w:id="1017" w:name="_Toc304295581"/>
      <w:bookmarkEnd w:id="1017"/>
      <w:bookmarkStart w:id="1018" w:name="_Toc303539161"/>
      <w:bookmarkEnd w:id="1018"/>
      <w:bookmarkStart w:id="1019" w:name="_Toc297216213"/>
      <w:bookmarkEnd w:id="1019"/>
      <w:bookmarkStart w:id="1020" w:name="_Toc300935004"/>
      <w:bookmarkEnd w:id="1020"/>
      <w:bookmarkStart w:id="1021" w:name="_Toc297120507"/>
      <w:bookmarkEnd w:id="1021"/>
      <w:bookmarkStart w:id="1022" w:name="_Toc297123554"/>
      <w:bookmarkEnd w:id="1022"/>
      <w:bookmarkStart w:id="1023" w:name="_Toc297048393"/>
      <w:bookmarkEnd w:id="1023"/>
      <w:bookmarkStart w:id="1024" w:name="_Toc296891247"/>
      <w:bookmarkEnd w:id="1024"/>
      <w:bookmarkStart w:id="1025" w:name="_Toc296891035"/>
      <w:bookmarkEnd w:id="1025"/>
      <w:r>
        <w:rPr>
          <w:rFonts w:hint="eastAsia" w:ascii="仿宋" w:hAnsi="仿宋" w:eastAsia="仿宋" w:cs="仿宋"/>
          <w:kern w:val="1"/>
          <w:sz w:val="28"/>
          <w:szCs w:val="28"/>
          <w:highlight w:val="none"/>
        </w:rPr>
        <w:t>12.2 预付款</w:t>
      </w:r>
    </w:p>
    <w:p w14:paraId="37712FF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12.2.1 预付款的支付</w:t>
      </w:r>
    </w:p>
    <w:p w14:paraId="7C926CB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预付款支付比例或金额：</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u w:val="single"/>
          <w:lang w:val="en-US" w:eastAsia="zh-CN"/>
        </w:rPr>
        <w:t>/</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36C8BF4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预付款支付期限：</w:t>
      </w:r>
      <w:r>
        <w:rPr>
          <w:rFonts w:hint="eastAsia" w:ascii="仿宋" w:hAnsi="仿宋" w:eastAsia="仿宋" w:cs="仿宋"/>
          <w:kern w:val="1"/>
          <w:sz w:val="28"/>
          <w:szCs w:val="28"/>
          <w:highlight w:val="none"/>
          <w:u w:val="single"/>
        </w:rPr>
        <w:t>合同签订后，采购人应在合同、担保措施生效以及具备实施条件后 5 个工作日内</w:t>
      </w:r>
      <w:r>
        <w:rPr>
          <w:rFonts w:hint="eastAsia" w:ascii="仿宋" w:hAnsi="仿宋" w:eastAsia="仿宋" w:cs="仿宋"/>
          <w:kern w:val="1"/>
          <w:sz w:val="28"/>
          <w:szCs w:val="28"/>
          <w:highlight w:val="none"/>
        </w:rPr>
        <w:t>。</w:t>
      </w:r>
    </w:p>
    <w:p w14:paraId="1089C8A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预付款扣回的方式：</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57D2A2A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12.2.2 预付款担保</w:t>
      </w:r>
    </w:p>
    <w:p w14:paraId="3EFA3BF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承包人提交预付款担保的期限：</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439EEF8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预付款担保的形式为：</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419CE8D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12.3 计量</w:t>
      </w:r>
    </w:p>
    <w:p w14:paraId="7BBA311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12.3.1 计量原则</w:t>
      </w:r>
    </w:p>
    <w:p w14:paraId="4ABBF406">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工程量计算规则：</w:t>
      </w:r>
      <w:r>
        <w:rPr>
          <w:rFonts w:hint="eastAsia" w:ascii="仿宋" w:hAnsi="仿宋" w:eastAsia="仿宋" w:cs="仿宋"/>
          <w:kern w:val="1"/>
          <w:sz w:val="28"/>
          <w:szCs w:val="28"/>
          <w:highlight w:val="none"/>
          <w:u w:val="single"/>
        </w:rPr>
        <w:t xml:space="preserve"> 2018 版安徽省建设工程计价依据所确定的工程量计量规则执行，如有不一致的，以有利于发包人的计量规则执行 。工程中期结算与竣工结（决）算以实际监理人认可并经发包人批准的工程量，按工程量清单的单价和合价计算支付金额。</w:t>
      </w:r>
    </w:p>
    <w:p w14:paraId="0706C4C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12.3.2 计量周期</w:t>
      </w:r>
    </w:p>
    <w:p w14:paraId="4120CD9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关于计量周期的约定：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sz w:val="28"/>
          <w:szCs w:val="28"/>
          <w:highlight w:val="none"/>
          <w:u w:val="single"/>
        </w:rPr>
        <w:t>按每月（30 日）申报一次  进行</w:t>
      </w:r>
      <w:r>
        <w:rPr>
          <w:rFonts w:hint="eastAsia" w:ascii="仿宋" w:hAnsi="仿宋" w:eastAsia="仿宋" w:cs="仿宋"/>
          <w:kern w:val="1"/>
          <w:sz w:val="28"/>
          <w:szCs w:val="28"/>
          <w:highlight w:val="none"/>
        </w:rPr>
        <w:t>。</w:t>
      </w:r>
    </w:p>
    <w:p w14:paraId="3EFB723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12.3.3 单价合同的计量</w:t>
      </w:r>
    </w:p>
    <w:p w14:paraId="67C0A6AB">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关于单价合同计量的约定：</w:t>
      </w:r>
      <w:r>
        <w:rPr>
          <w:rFonts w:hint="eastAsia" w:ascii="仿宋" w:hAnsi="仿宋" w:eastAsia="仿宋" w:cs="仿宋"/>
          <w:kern w:val="1"/>
          <w:sz w:val="28"/>
          <w:szCs w:val="28"/>
          <w:highlight w:val="none"/>
          <w:u w:val="single"/>
        </w:rPr>
        <w:t>（1）按每月（30 日）一次计量周期进行计量：每期申报，按发包人要求提供当期完成的形象进度报审表、工程中期结算表、工程中期结算付款申请表及下期施工作业计划报表各 8 份。以上报表须承包人项目经理签字，监理人结合当期奖惩数额进行审核，如发包人聘请了现场跟踪审计单位实施造价控制工作，承包人提交的工程量报表还需要经现场跟踪审计单位审核，并经发包人核实批准后生效，逾期视为放弃当期的支付要求。</w:t>
      </w:r>
    </w:p>
    <w:p w14:paraId="5815B593">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（2）监理人应在收到承包人提交的工程量报告后 7 天内完成对承包人提交的工程量报表的初步审核并报送发包人审批，以确定当期实际完成的应予计量的工程量。</w:t>
      </w:r>
    </w:p>
    <w:p w14:paraId="7BBD87BC">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3）如监理人认为承包人所提交的工程量报表资料不全，或对所报工程量有异议的，有权要求承包人进行资料补充，或进行共同复核、抽样复测。承包人应协助监理人进行复核或抽样复测并按监理人要求提供补充计量资料。承包人未按监理人要求补充资料或参加复核、抽样复测的，监理人审核或修正的工程量视为承包人实际完成的工程量，因补充资料或工程量复核、复测造成工程款支付延误责任由承包人承担。</w:t>
      </w:r>
    </w:p>
    <w:p w14:paraId="0BE7646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u w:val="single"/>
        </w:rPr>
        <w:t>（4）如发包人聘请了现场跟踪审计单位实施造价控制工作，承包人提交的工程量报表还需要经现场跟踪审计单位审核。</w:t>
      </w:r>
    </w:p>
    <w:p w14:paraId="185BAA3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12.3.4 总价合同的计量</w:t>
      </w:r>
    </w:p>
    <w:p w14:paraId="10F5ACE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关于总价合同计量的约定：</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2072640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12.3.5总价合同采用支付分解表计量支付的，是否适用第12.3.4 项〔总价合同的计量〕约定进行计量：</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366EC75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12.3.6 其他价格形式合同的计量</w:t>
      </w:r>
    </w:p>
    <w:p w14:paraId="75A1A7FE">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其他价格形式的计量方式和程序：</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61A7E93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12.4 工程进度款支付</w:t>
      </w:r>
    </w:p>
    <w:p w14:paraId="0A280C00">
      <w:pPr>
        <w:spacing w:line="360" w:lineRule="auto"/>
        <w:ind w:firstLine="560" w:firstLineChars="200"/>
        <w:rPr>
          <w:rFonts w:hint="eastAsia" w:ascii="仿宋" w:hAnsi="仿宋" w:eastAsia="仿宋" w:cs="仿宋"/>
          <w:kern w:val="1"/>
          <w:sz w:val="28"/>
          <w:szCs w:val="28"/>
          <w:highlight w:val="none"/>
        </w:rPr>
      </w:pPr>
      <w:bookmarkStart w:id="1026" w:name="_Toc296891251"/>
      <w:bookmarkEnd w:id="1026"/>
      <w:bookmarkStart w:id="1027" w:name="_Toc297120511"/>
      <w:bookmarkEnd w:id="1027"/>
      <w:bookmarkStart w:id="1028" w:name="_Toc303539163"/>
      <w:bookmarkEnd w:id="1028"/>
      <w:bookmarkStart w:id="1029" w:name="_Toc297048397"/>
      <w:bookmarkEnd w:id="1029"/>
      <w:bookmarkStart w:id="1030" w:name="_Toc296347210"/>
      <w:bookmarkEnd w:id="1030"/>
      <w:bookmarkStart w:id="1031" w:name="_Toc296346712"/>
      <w:bookmarkEnd w:id="1031"/>
      <w:bookmarkStart w:id="1032" w:name="_Toc296503211"/>
      <w:bookmarkEnd w:id="1032"/>
      <w:bookmarkStart w:id="1033" w:name="_Toc292559416"/>
      <w:bookmarkEnd w:id="1033"/>
      <w:bookmarkStart w:id="1034" w:name="_Toc297123556"/>
      <w:bookmarkEnd w:id="1034"/>
      <w:bookmarkStart w:id="1035" w:name="_Toc296891039"/>
      <w:bookmarkEnd w:id="1035"/>
      <w:bookmarkStart w:id="1036" w:name="_Toc297216215"/>
      <w:bookmarkEnd w:id="1036"/>
      <w:bookmarkStart w:id="1037" w:name="_Toc296944550"/>
      <w:bookmarkEnd w:id="1037"/>
      <w:bookmarkStart w:id="1038" w:name="_Toc292559921"/>
      <w:bookmarkEnd w:id="1038"/>
      <w:bookmarkStart w:id="1039" w:name="_Toc300935006"/>
      <w:bookmarkEnd w:id="1039"/>
      <w:r>
        <w:rPr>
          <w:rFonts w:hint="eastAsia" w:ascii="仿宋" w:hAnsi="仿宋" w:eastAsia="仿宋" w:cs="仿宋"/>
          <w:kern w:val="1"/>
          <w:sz w:val="28"/>
          <w:szCs w:val="28"/>
          <w:highlight w:val="none"/>
        </w:rPr>
        <w:t>12.4.1 付款周期</w:t>
      </w:r>
    </w:p>
    <w:p w14:paraId="612806EE">
      <w:pPr>
        <w:spacing w:line="360" w:lineRule="auto"/>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关于付款周期的约定：</w:t>
      </w:r>
      <w:r>
        <w:rPr>
          <w:rFonts w:hint="eastAsia" w:ascii="仿宋" w:hAnsi="仿宋" w:eastAsia="仿宋" w:cs="仿宋"/>
          <w:kern w:val="1"/>
          <w:sz w:val="28"/>
          <w:szCs w:val="28"/>
          <w:highlight w:val="none"/>
          <w:lang w:val="en-US" w:eastAsia="zh-CN"/>
        </w:rPr>
        <w:t>合同签订确定后采购人按工程进度进行付款，供应商完成总工程量的50%（木工工程全部完工、墙面施工人员进场）后，采购人</w:t>
      </w:r>
      <w:r>
        <w:rPr>
          <w:rFonts w:hint="eastAsia" w:ascii="仿宋" w:hAnsi="仿宋" w:eastAsia="仿宋" w:cs="仿宋"/>
          <w:kern w:val="1"/>
          <w:sz w:val="28"/>
          <w:szCs w:val="28"/>
          <w:highlight w:val="none"/>
          <w:lang w:val="en-US"/>
        </w:rPr>
        <w:t>支付合同价款的</w:t>
      </w:r>
      <w:r>
        <w:rPr>
          <w:rFonts w:hint="eastAsia" w:ascii="仿宋" w:hAnsi="仿宋" w:eastAsia="仿宋" w:cs="仿宋"/>
          <w:kern w:val="1"/>
          <w:sz w:val="28"/>
          <w:szCs w:val="28"/>
          <w:highlight w:val="none"/>
          <w:lang w:val="en-US" w:eastAsia="zh-CN"/>
        </w:rPr>
        <w:t>5</w:t>
      </w:r>
      <w:r>
        <w:rPr>
          <w:rFonts w:hint="eastAsia" w:ascii="仿宋" w:hAnsi="仿宋" w:eastAsia="仿宋" w:cs="仿宋"/>
          <w:kern w:val="1"/>
          <w:sz w:val="28"/>
          <w:szCs w:val="28"/>
          <w:highlight w:val="none"/>
          <w:lang w:val="en-US"/>
        </w:rPr>
        <w:t>0%</w:t>
      </w:r>
      <w:r>
        <w:rPr>
          <w:rFonts w:hint="eastAsia" w:ascii="仿宋" w:hAnsi="仿宋" w:eastAsia="仿宋" w:cs="仿宋"/>
          <w:kern w:val="1"/>
          <w:sz w:val="28"/>
          <w:szCs w:val="28"/>
          <w:highlight w:val="none"/>
          <w:lang w:val="en-US" w:eastAsia="zh-CN"/>
        </w:rPr>
        <w:t>；</w:t>
      </w:r>
      <w:r>
        <w:rPr>
          <w:rFonts w:hint="eastAsia" w:ascii="仿宋" w:hAnsi="仿宋" w:eastAsia="仿宋" w:cs="仿宋"/>
          <w:kern w:val="1"/>
          <w:sz w:val="28"/>
          <w:szCs w:val="28"/>
          <w:highlight w:val="none"/>
          <w:lang w:val="en-US"/>
        </w:rPr>
        <w:t>供应商在完成工程并验收合格后，支付合同价款的100%。同时供应商应交付合同总价款的3%作质保金（质保金可以为银行、保险公司、担保公司等金融机构出具的保函或其他担保措施，支持电子、纸质形式），待质保期满后无质量问题一次性退回质保金</w:t>
      </w:r>
      <w:r>
        <w:rPr>
          <w:rFonts w:hint="eastAsia" w:ascii="仿宋" w:hAnsi="仿宋" w:eastAsia="仿宋" w:cs="仿宋"/>
          <w:kern w:val="1"/>
          <w:sz w:val="28"/>
          <w:szCs w:val="28"/>
          <w:highlight w:val="none"/>
        </w:rPr>
        <w:t>。</w:t>
      </w:r>
    </w:p>
    <w:p w14:paraId="1A5AF04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12.4.2 进度付款申请单的编制</w:t>
      </w:r>
    </w:p>
    <w:p w14:paraId="2F36F02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关于进度付款申请单编制的约定：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color w:val="000000"/>
          <w:sz w:val="28"/>
          <w:szCs w:val="28"/>
          <w:highlight w:val="none"/>
          <w:u w:val="single" w:color="000000"/>
        </w:rPr>
        <w:t>按发包人工程进度款支付管理规定执行</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59303EA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12.4.3 进度付款申请单的提交</w:t>
      </w:r>
    </w:p>
    <w:p w14:paraId="7F0BA6E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（1）单价合同进度付款申请单提交的约定：</w:t>
      </w:r>
      <w:r>
        <w:rPr>
          <w:rFonts w:hint="eastAsia" w:ascii="仿宋" w:hAnsi="仿宋" w:eastAsia="仿宋" w:cs="仿宋"/>
          <w:color w:val="000000"/>
          <w:sz w:val="28"/>
          <w:szCs w:val="28"/>
          <w:highlight w:val="none"/>
          <w:u w:val="single"/>
        </w:rPr>
        <w:t>按照专用条款12.3.4</w:t>
      </w:r>
      <w:r>
        <w:rPr>
          <w:rFonts w:hint="eastAsia" w:ascii="仿宋" w:hAnsi="仿宋" w:eastAsia="仿宋" w:cs="仿宋"/>
          <w:sz w:val="28"/>
          <w:szCs w:val="28"/>
          <w:highlight w:val="none"/>
          <w:u w:val="single"/>
        </w:rPr>
        <w:t xml:space="preserve"> </w:t>
      </w:r>
      <w:r>
        <w:rPr>
          <w:rFonts w:hint="eastAsia" w:ascii="仿宋" w:hAnsi="仿宋" w:eastAsia="仿宋" w:cs="仿宋"/>
          <w:color w:val="000000"/>
          <w:sz w:val="28"/>
          <w:szCs w:val="28"/>
          <w:highlight w:val="none"/>
          <w:u w:val="single"/>
        </w:rPr>
        <w:t>条约定的时间每次向发包人提</w:t>
      </w:r>
      <w:r>
        <w:rPr>
          <w:rFonts w:hint="eastAsia" w:ascii="仿宋" w:hAnsi="仿宋" w:eastAsia="仿宋" w:cs="仿宋"/>
          <w:color w:val="000000"/>
          <w:sz w:val="28"/>
          <w:szCs w:val="28"/>
          <w:highlight w:val="none"/>
          <w:u w:val="single" w:color="000000"/>
        </w:rPr>
        <w:t>交工程中期结算付款申请表，并附上已完成工程量报表和有关资料。逾期视为放弃本次的支付要求</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34E2FD3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（2）总价合同进度付款申请单提交的约定：</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7275979F">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（3）其他价格形式合同进度付款申请单提交的约定：</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4C0DEF8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12.4.4 进度款审核和支付</w:t>
      </w:r>
    </w:p>
    <w:p w14:paraId="18B7FE4B">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（1）监理人审查并报送发包人的期限：</w:t>
      </w:r>
      <w:r>
        <w:rPr>
          <w:rFonts w:hint="eastAsia" w:ascii="仿宋" w:hAnsi="仿宋" w:eastAsia="仿宋" w:cs="仿宋"/>
          <w:color w:val="000000"/>
          <w:sz w:val="28"/>
          <w:szCs w:val="28"/>
          <w:highlight w:val="none"/>
          <w:u w:val="single"/>
        </w:rPr>
        <w:t>每期申报当月20</w:t>
      </w:r>
      <w:r>
        <w:rPr>
          <w:rFonts w:hint="eastAsia" w:ascii="仿宋" w:hAnsi="仿宋" w:eastAsia="仿宋" w:cs="仿宋"/>
          <w:sz w:val="28"/>
          <w:szCs w:val="28"/>
          <w:highlight w:val="none"/>
          <w:u w:val="single"/>
        </w:rPr>
        <w:t xml:space="preserve"> </w:t>
      </w:r>
      <w:r>
        <w:rPr>
          <w:rFonts w:hint="eastAsia" w:ascii="仿宋" w:hAnsi="仿宋" w:eastAsia="仿宋" w:cs="仿宋"/>
          <w:color w:val="000000"/>
          <w:sz w:val="28"/>
          <w:szCs w:val="28"/>
          <w:highlight w:val="none"/>
          <w:u w:val="single"/>
        </w:rPr>
        <w:t>日前</w:t>
      </w:r>
      <w:r>
        <w:rPr>
          <w:rFonts w:hint="eastAsia" w:ascii="仿宋" w:hAnsi="仿宋" w:eastAsia="仿宋" w:cs="仿宋"/>
          <w:kern w:val="1"/>
          <w:sz w:val="28"/>
          <w:szCs w:val="28"/>
          <w:highlight w:val="none"/>
        </w:rPr>
        <w:t>。</w:t>
      </w:r>
    </w:p>
    <w:p w14:paraId="1313E927">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发包人完成审批并签发进度款支付证书的期限：</w:t>
      </w:r>
      <w:r>
        <w:rPr>
          <w:rFonts w:hint="eastAsia" w:ascii="仿宋" w:hAnsi="仿宋" w:eastAsia="仿宋" w:cs="仿宋"/>
          <w:kern w:val="1"/>
          <w:sz w:val="28"/>
          <w:szCs w:val="28"/>
          <w:highlight w:val="none"/>
          <w:u w:val="single"/>
        </w:rPr>
        <w:t xml:space="preserve">执行通用条款 </w:t>
      </w:r>
      <w:r>
        <w:rPr>
          <w:rFonts w:hint="eastAsia" w:ascii="仿宋" w:hAnsi="仿宋" w:eastAsia="仿宋" w:cs="仿宋"/>
          <w:kern w:val="1"/>
          <w:sz w:val="28"/>
          <w:szCs w:val="28"/>
          <w:highlight w:val="none"/>
        </w:rPr>
        <w:t>。</w:t>
      </w:r>
    </w:p>
    <w:p w14:paraId="4F2C33E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（2）发包人支付进度款的期限：</w:t>
      </w:r>
      <w:r>
        <w:rPr>
          <w:rFonts w:hint="eastAsia" w:ascii="仿宋" w:hAnsi="仿宋" w:eastAsia="仿宋" w:cs="仿宋"/>
          <w:kern w:val="1"/>
          <w:sz w:val="28"/>
          <w:szCs w:val="28"/>
          <w:highlight w:val="none"/>
          <w:u w:val="single"/>
        </w:rPr>
        <w:t xml:space="preserve">   </w:t>
      </w:r>
      <w:r>
        <w:rPr>
          <w:rFonts w:hint="eastAsia" w:ascii="仿宋" w:hAnsi="仿宋" w:eastAsia="仿宋" w:cs="仿宋"/>
          <w:color w:val="000000"/>
          <w:sz w:val="28"/>
          <w:szCs w:val="28"/>
          <w:highlight w:val="none"/>
          <w:u w:val="single" w:color="000000"/>
        </w:rPr>
        <w:t>进度款支付手续办理完毕并提供当期支付款项的全额增值税专用发票后，于当月底入账，次月 30 日之前（国家法定节假日顺延）支付。因进度款支付手续不全引起的付款延误，由承包人承担责任，并不得影响工程进度。发包人根据核实签认的工程进度办理当期结算，当期进度款按合同约定，对工期、质量、安全文明施工、管理人员等履约情况进行清理，并办理奖惩清理表，该表作为财务付款的依据之一</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3222F80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发包人逾期支付进度款的违约金的计算方式：</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56BD141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sz w:val="28"/>
          <w:szCs w:val="28"/>
          <w:highlight w:val="none"/>
        </w:rPr>
        <w:t>（</w:t>
      </w:r>
      <w:r>
        <w:rPr>
          <w:rFonts w:hint="eastAsia" w:ascii="仿宋" w:hAnsi="仿宋" w:eastAsia="仿宋" w:cs="仿宋"/>
          <w:kern w:val="1"/>
          <w:sz w:val="28"/>
          <w:szCs w:val="28"/>
          <w:highlight w:val="none"/>
        </w:rPr>
        <w:t>3）发包人在承包人开具相应金额的工程类增值税专用发票后方可支付相应的工程款，如承包方拒不开具相应的工程类增值税专用发票，发包人有权暂不支付应付款项。</w:t>
      </w:r>
    </w:p>
    <w:p w14:paraId="50A69110">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1"/>
          <w:sz w:val="28"/>
          <w:szCs w:val="28"/>
          <w:highlight w:val="none"/>
        </w:rPr>
        <w:t>（4）进度款审核和支付期间争议问题的处理约定：</w:t>
      </w:r>
      <w:r>
        <w:rPr>
          <w:rFonts w:hint="eastAsia" w:ascii="仿宋" w:hAnsi="仿宋" w:eastAsia="仿宋" w:cs="仿宋"/>
          <w:kern w:val="1"/>
          <w:sz w:val="28"/>
          <w:szCs w:val="28"/>
          <w:highlight w:val="none"/>
          <w:u w:val="single"/>
        </w:rPr>
        <w:t>双方约定仅遗留争议项目暂不定案，同时暂不支付该争议项目工程进度款，在双方取得一致意见后，并入下一期进度款一起支付。协商达不成一致时，承包人应按发包人和监理人的要求继续施工，同时对争议部分进行施工取证，承包人不得以部分争议项目未解决而发包人暂未付工程进度款，采取抵制行为，如采取停工、消极怠工、延误工期、降低质量、降低标准、不履行合同义务的行为，承包人因此而影响工程进度的，视为承包人违约，按工期延误的规定进行处罚，发包人有权单方面提前终止合同。发包人依据前述理由解除合同的，有权没收履约保证金，对已完成工程，仅需支付合格部分的工程量 80%的工程款，其余款项承包人放弃向发包人主张的权利，且承包人须承担发包人再次招标（采购）或组织施工单位进场的各项费用及逾期竣工的损失。</w:t>
      </w:r>
    </w:p>
    <w:p w14:paraId="4CC409D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12.4.5 支付分解表的编制</w:t>
      </w:r>
    </w:p>
    <w:p w14:paraId="154648FD">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（1）总价合同支付分解表的编制与审批：</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7D423E2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（2）单价合同的总价项目支付分解表的编制与审批：</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 xml:space="preserve"> 。</w:t>
      </w:r>
    </w:p>
    <w:p w14:paraId="1B3AB47E">
      <w:pPr>
        <w:spacing w:line="360" w:lineRule="auto"/>
        <w:ind w:firstLine="560" w:firstLineChars="200"/>
        <w:rPr>
          <w:rFonts w:hint="eastAsia" w:ascii="仿宋" w:hAnsi="仿宋" w:eastAsia="仿宋" w:cs="仿宋"/>
          <w:kern w:val="1"/>
          <w:sz w:val="28"/>
          <w:szCs w:val="28"/>
          <w:highlight w:val="none"/>
        </w:rPr>
      </w:pPr>
      <w:bookmarkStart w:id="1040" w:name="_Toc312678053"/>
      <w:bookmarkEnd w:id="1040"/>
      <w:bookmarkStart w:id="1041" w:name="_Toc296891259"/>
      <w:bookmarkEnd w:id="1041"/>
      <w:bookmarkStart w:id="1042" w:name="_Toc297216223"/>
      <w:bookmarkEnd w:id="1042"/>
      <w:bookmarkStart w:id="1043" w:name="_Toc292559424"/>
      <w:bookmarkEnd w:id="1043"/>
      <w:bookmarkStart w:id="1044" w:name="_Toc304295593"/>
      <w:bookmarkEnd w:id="1044"/>
      <w:bookmarkStart w:id="1045" w:name="_Toc300935015"/>
      <w:bookmarkEnd w:id="1045"/>
      <w:bookmarkStart w:id="1046" w:name="_Toc296944558"/>
      <w:bookmarkEnd w:id="1046"/>
      <w:bookmarkStart w:id="1047" w:name="_Toc296891047"/>
      <w:bookmarkEnd w:id="1047"/>
      <w:bookmarkStart w:id="1048" w:name="_Toc296503219"/>
      <w:bookmarkEnd w:id="1048"/>
      <w:bookmarkStart w:id="1049" w:name="_Toc303539172"/>
      <w:bookmarkEnd w:id="1049"/>
      <w:bookmarkStart w:id="1050" w:name="_Toc296346720"/>
      <w:bookmarkEnd w:id="1050"/>
      <w:bookmarkStart w:id="1051" w:name="_Toc297048405"/>
      <w:bookmarkEnd w:id="1051"/>
      <w:bookmarkStart w:id="1052" w:name="_Toc297123564"/>
      <w:bookmarkEnd w:id="1052"/>
      <w:bookmarkStart w:id="1053" w:name="_Toc297120519"/>
      <w:bookmarkEnd w:id="1053"/>
      <w:bookmarkStart w:id="1054" w:name="_Toc351203645"/>
      <w:bookmarkEnd w:id="1054"/>
      <w:bookmarkStart w:id="1055" w:name="_Toc296347218"/>
      <w:bookmarkEnd w:id="1055"/>
      <w:bookmarkStart w:id="1056" w:name="_Toc292559929"/>
      <w:bookmarkEnd w:id="1056"/>
      <w:r>
        <w:rPr>
          <w:rFonts w:hint="eastAsia" w:ascii="仿宋" w:hAnsi="仿宋" w:eastAsia="仿宋" w:cs="仿宋"/>
          <w:kern w:val="1"/>
          <w:sz w:val="28"/>
          <w:szCs w:val="28"/>
          <w:highlight w:val="none"/>
        </w:rPr>
        <w:t>13. 验收和工程试车</w:t>
      </w:r>
    </w:p>
    <w:p w14:paraId="09FDAC29">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1）验收规范规定的隐蔽工程和中间验收部位在进入下道工序前，必须通知监理工程师、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14:paraId="27720BA6">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（2）为方便维修，如发包人有特殊要求，承包人除在工程隐蔽前提供常规工程隐蔽资料外，还需按照发包人要求绘制隐蔽工程详图并标出各种管线的具体位置和详细尺寸。</w:t>
      </w:r>
    </w:p>
    <w:p w14:paraId="17A7EAE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3）如承包人不按合同条款施工，或违反正常施工程序、施工工艺进行野蛮施工，或施工质量、安全、环保等达不到有关要求，或施工用材料设备不合规定，发包人有权要求承包人暂停施工，承包人必须立即停工整改，并承担由此引发的一切责任及损失。</w:t>
      </w:r>
    </w:p>
    <w:p w14:paraId="0999810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1"/>
          <w:sz w:val="28"/>
          <w:szCs w:val="28"/>
          <w:highlight w:val="none"/>
          <w:u w:val="single"/>
        </w:rPr>
        <w:t>（4）开工前，承包人需在现场放出各建筑物的边线，并配合专业测量单位的复核。根据复核结果校正放线点位，并对校正后点位加强保护。复核后出现放线错误的，一切责任及损失由承包人承担。</w:t>
      </w:r>
    </w:p>
    <w:p w14:paraId="5368A64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13.1 分部分项工程验收</w:t>
      </w:r>
    </w:p>
    <w:p w14:paraId="5EE106A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13.1.1监理人不能按时进行验收时，应提前</w:t>
      </w:r>
      <w:r>
        <w:rPr>
          <w:rFonts w:hint="eastAsia" w:ascii="仿宋" w:hAnsi="仿宋" w:eastAsia="仿宋" w:cs="仿宋"/>
          <w:kern w:val="1"/>
          <w:sz w:val="28"/>
          <w:szCs w:val="28"/>
          <w:highlight w:val="none"/>
          <w:u w:val="single"/>
        </w:rPr>
        <w:t xml:space="preserve">   24  </w:t>
      </w:r>
      <w:r>
        <w:rPr>
          <w:rFonts w:hint="eastAsia" w:ascii="仿宋" w:hAnsi="仿宋" w:eastAsia="仿宋" w:cs="仿宋"/>
          <w:kern w:val="1"/>
          <w:sz w:val="28"/>
          <w:szCs w:val="28"/>
          <w:highlight w:val="none"/>
        </w:rPr>
        <w:t>小时提交书面延期要求。</w:t>
      </w:r>
    </w:p>
    <w:p w14:paraId="77E077FE">
      <w:pPr>
        <w:spacing w:line="360" w:lineRule="auto"/>
        <w:ind w:firstLine="560" w:firstLineChars="200"/>
        <w:rPr>
          <w:rFonts w:hint="eastAsia" w:ascii="仿宋" w:hAnsi="仿宋" w:eastAsia="仿宋" w:cs="仿宋"/>
          <w:b/>
          <w:kern w:val="1"/>
          <w:sz w:val="28"/>
          <w:szCs w:val="28"/>
          <w:highlight w:val="none"/>
        </w:rPr>
      </w:pPr>
      <w:r>
        <w:rPr>
          <w:rFonts w:hint="eastAsia" w:ascii="仿宋" w:hAnsi="仿宋" w:eastAsia="仿宋" w:cs="仿宋"/>
          <w:kern w:val="1"/>
          <w:sz w:val="28"/>
          <w:szCs w:val="28"/>
          <w:highlight w:val="none"/>
        </w:rPr>
        <w:t>关于延期最长不得超过：</w:t>
      </w:r>
      <w:r>
        <w:rPr>
          <w:rFonts w:hint="eastAsia" w:ascii="仿宋" w:hAnsi="仿宋" w:eastAsia="仿宋" w:cs="仿宋"/>
          <w:kern w:val="1"/>
          <w:sz w:val="28"/>
          <w:szCs w:val="28"/>
          <w:highlight w:val="none"/>
          <w:u w:val="single"/>
        </w:rPr>
        <w:t xml:space="preserve">   48    </w:t>
      </w:r>
      <w:r>
        <w:rPr>
          <w:rFonts w:hint="eastAsia" w:ascii="仿宋" w:hAnsi="仿宋" w:eastAsia="仿宋" w:cs="仿宋"/>
          <w:kern w:val="1"/>
          <w:sz w:val="28"/>
          <w:szCs w:val="28"/>
          <w:highlight w:val="none"/>
        </w:rPr>
        <w:t>小时。</w:t>
      </w:r>
    </w:p>
    <w:p w14:paraId="391B8A3A">
      <w:pPr>
        <w:spacing w:line="360" w:lineRule="auto"/>
        <w:ind w:firstLine="560" w:firstLineChars="200"/>
        <w:rPr>
          <w:rFonts w:hint="eastAsia" w:ascii="仿宋" w:hAnsi="仿宋" w:eastAsia="仿宋" w:cs="仿宋"/>
          <w:kern w:val="1"/>
          <w:sz w:val="28"/>
          <w:szCs w:val="28"/>
          <w:highlight w:val="none"/>
        </w:rPr>
      </w:pPr>
      <w:bookmarkStart w:id="1057" w:name="_Toc296891263"/>
      <w:bookmarkEnd w:id="1057"/>
      <w:bookmarkStart w:id="1058" w:name="_Toc267251471"/>
      <w:bookmarkEnd w:id="1058"/>
      <w:bookmarkStart w:id="1059" w:name="_Toc296347222"/>
      <w:bookmarkEnd w:id="1059"/>
      <w:bookmarkStart w:id="1060" w:name="_Toc300935016"/>
      <w:bookmarkEnd w:id="1060"/>
      <w:bookmarkStart w:id="1061" w:name="_Toc297216224"/>
      <w:bookmarkEnd w:id="1061"/>
      <w:bookmarkStart w:id="1062" w:name="_Toc267251475"/>
      <w:bookmarkEnd w:id="1062"/>
      <w:bookmarkStart w:id="1063" w:name="_Toc296503223"/>
      <w:bookmarkEnd w:id="1063"/>
      <w:bookmarkStart w:id="1064" w:name="_Toc303539173"/>
      <w:bookmarkEnd w:id="1064"/>
      <w:bookmarkStart w:id="1065" w:name="_Toc296891051"/>
      <w:bookmarkEnd w:id="1065"/>
      <w:bookmarkStart w:id="1066" w:name="_Toc267251476"/>
      <w:bookmarkEnd w:id="1066"/>
      <w:bookmarkStart w:id="1067" w:name="_Toc292559428"/>
      <w:bookmarkEnd w:id="1067"/>
      <w:bookmarkStart w:id="1068" w:name="_Toc267251474"/>
      <w:bookmarkEnd w:id="1068"/>
      <w:bookmarkStart w:id="1069" w:name="_Toc267251470"/>
      <w:bookmarkEnd w:id="1069"/>
      <w:bookmarkStart w:id="1070" w:name="_Toc297048409"/>
      <w:bookmarkEnd w:id="1070"/>
      <w:bookmarkStart w:id="1071" w:name="_Toc292559933"/>
      <w:bookmarkEnd w:id="1071"/>
      <w:bookmarkStart w:id="1072" w:name="_Toc304295596"/>
      <w:bookmarkEnd w:id="1072"/>
      <w:bookmarkStart w:id="1073" w:name="_Toc296944562"/>
      <w:bookmarkEnd w:id="1073"/>
      <w:bookmarkStart w:id="1074" w:name="_Toc312678056"/>
      <w:bookmarkEnd w:id="1074"/>
      <w:bookmarkStart w:id="1075" w:name="_Toc296346724"/>
      <w:bookmarkEnd w:id="1075"/>
      <w:bookmarkStart w:id="1076" w:name="_Toc267251473"/>
      <w:bookmarkEnd w:id="1076"/>
      <w:bookmarkStart w:id="1077" w:name="_Toc297123565"/>
      <w:bookmarkEnd w:id="1077"/>
      <w:bookmarkStart w:id="1078" w:name="_Toc267251472"/>
      <w:bookmarkEnd w:id="1078"/>
      <w:bookmarkStart w:id="1079" w:name="_Toc297120523"/>
      <w:bookmarkEnd w:id="1079"/>
      <w:r>
        <w:rPr>
          <w:rFonts w:hint="eastAsia" w:ascii="仿宋" w:hAnsi="仿宋" w:eastAsia="仿宋" w:cs="仿宋"/>
          <w:kern w:val="1"/>
          <w:sz w:val="28"/>
          <w:szCs w:val="28"/>
          <w:highlight w:val="none"/>
        </w:rPr>
        <w:t>13.2 竣工验收</w:t>
      </w:r>
    </w:p>
    <w:p w14:paraId="777E213F">
      <w:pPr>
        <w:spacing w:line="360" w:lineRule="auto"/>
        <w:ind w:firstLine="560" w:firstLineChars="200"/>
        <w:rPr>
          <w:rFonts w:hint="eastAsia" w:ascii="仿宋" w:hAnsi="仿宋" w:eastAsia="仿宋" w:cs="仿宋"/>
          <w:kern w:val="1"/>
          <w:sz w:val="28"/>
          <w:szCs w:val="28"/>
          <w:highlight w:val="none"/>
        </w:rPr>
      </w:pPr>
      <w:bookmarkStart w:id="1080" w:name="_Toc280868705"/>
      <w:bookmarkEnd w:id="1080"/>
      <w:bookmarkStart w:id="1081" w:name="_Toc280868709"/>
      <w:bookmarkEnd w:id="1081"/>
      <w:bookmarkStart w:id="1082" w:name="_Toc280868708"/>
      <w:bookmarkEnd w:id="1082"/>
      <w:bookmarkStart w:id="1083" w:name="_Toc280868706"/>
      <w:bookmarkEnd w:id="1083"/>
      <w:bookmarkStart w:id="1084" w:name="_Toc280868707"/>
      <w:bookmarkEnd w:id="1084"/>
      <w:bookmarkStart w:id="1085" w:name="_Toc280868704"/>
      <w:bookmarkEnd w:id="1085"/>
      <w:r>
        <w:rPr>
          <w:rFonts w:hint="eastAsia" w:ascii="仿宋" w:hAnsi="仿宋" w:eastAsia="仿宋" w:cs="仿宋"/>
          <w:kern w:val="1"/>
          <w:sz w:val="28"/>
          <w:szCs w:val="28"/>
          <w:highlight w:val="none"/>
        </w:rPr>
        <w:t>13.2.1竣工验收程序</w:t>
      </w:r>
    </w:p>
    <w:p w14:paraId="4777D739">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关于竣工验收程序的约定：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执行国家、工程所在地安徽省淮南市建设行政主管部门相关规定执行。工程竣工前承包人必须提交完整、规范、合格的工程资料，否则不予办理竣工验收及结算，资料不同</w:t>
      </w:r>
      <w:r>
        <w:rPr>
          <w:rFonts w:hint="eastAsia" w:ascii="仿宋" w:hAnsi="仿宋" w:eastAsia="仿宋" w:cs="仿宋"/>
          <w:b/>
          <w:color w:val="000000"/>
          <w:sz w:val="28"/>
          <w:szCs w:val="28"/>
          <w:highlight w:val="none"/>
          <w:u w:val="single"/>
        </w:rPr>
        <w:t>步视为工期延误。其他执行通用条款</w:t>
      </w:r>
      <w:r>
        <w:rPr>
          <w:rFonts w:hint="eastAsia" w:ascii="仿宋" w:hAnsi="仿宋" w:eastAsia="仿宋" w:cs="仿宋"/>
          <w:kern w:val="1"/>
          <w:sz w:val="28"/>
          <w:szCs w:val="28"/>
          <w:highlight w:val="none"/>
          <w:u w:val="single"/>
        </w:rPr>
        <w:t>。</w:t>
      </w:r>
    </w:p>
    <w:p w14:paraId="14A26F75">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发包人不按照本项约定组织竣工验收、颁发工程接收证书的违约金的计算方法：</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2CF2999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13.2.2移交、接收全部与部分工程</w:t>
      </w:r>
    </w:p>
    <w:p w14:paraId="0327700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承包人向发包人移交工程的期限：</w:t>
      </w:r>
      <w:r>
        <w:rPr>
          <w:rFonts w:hint="eastAsia" w:ascii="仿宋" w:hAnsi="仿宋" w:eastAsia="仿宋" w:cs="仿宋"/>
          <w:kern w:val="1"/>
          <w:sz w:val="28"/>
          <w:szCs w:val="28"/>
          <w:highlight w:val="none"/>
          <w:u w:val="single"/>
        </w:rPr>
        <w:t xml:space="preserve">  合同双方应当在颁发工程接收证书后 14 个日内完成工程的移交。</w:t>
      </w:r>
    </w:p>
    <w:p w14:paraId="776661FF">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发包人未按本合同约定接收全部或部分工程的，违约金的计算方法为：</w:t>
      </w:r>
      <w:r>
        <w:rPr>
          <w:rFonts w:hint="eastAsia" w:ascii="仿宋" w:hAnsi="仿宋" w:eastAsia="仿宋" w:cs="仿宋"/>
          <w:kern w:val="1"/>
          <w:sz w:val="28"/>
          <w:szCs w:val="28"/>
          <w:highlight w:val="none"/>
          <w:u w:val="single"/>
        </w:rPr>
        <w:t xml:space="preserve">     无  </w:t>
      </w:r>
      <w:r>
        <w:rPr>
          <w:rFonts w:hint="eastAsia" w:ascii="仿宋" w:hAnsi="仿宋" w:eastAsia="仿宋" w:cs="仿宋"/>
          <w:kern w:val="1"/>
          <w:sz w:val="28"/>
          <w:szCs w:val="28"/>
          <w:highlight w:val="none"/>
        </w:rPr>
        <w:t>。</w:t>
      </w:r>
    </w:p>
    <w:p w14:paraId="574B22F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承包人未按时移交工程的，违约金的计算方法为：</w:t>
      </w:r>
      <w:r>
        <w:rPr>
          <w:rFonts w:hint="eastAsia" w:ascii="仿宋" w:hAnsi="仿宋" w:eastAsia="仿宋" w:cs="仿宋"/>
          <w:kern w:val="1"/>
          <w:sz w:val="28"/>
          <w:szCs w:val="28"/>
          <w:highlight w:val="none"/>
          <w:u w:val="single"/>
        </w:rPr>
        <w:t xml:space="preserve"> 承包人无正当理由不移交工程的，承包人应</w:t>
      </w:r>
    </w:p>
    <w:p w14:paraId="357DF31E">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u w:val="single"/>
        </w:rPr>
        <w:t>承担工程照管、成品保护、保管等与工程有关的各项费用，并按</w:t>
      </w:r>
      <w:r>
        <w:rPr>
          <w:rFonts w:hint="eastAsia" w:ascii="仿宋" w:hAnsi="仿宋" w:eastAsia="仿宋" w:cs="仿宋"/>
          <w:kern w:val="1"/>
          <w:sz w:val="28"/>
          <w:szCs w:val="28"/>
          <w:highlight w:val="none"/>
          <w:u w:val="single"/>
          <w:lang w:val="en-US" w:eastAsia="zh-CN"/>
        </w:rPr>
        <w:t xml:space="preserve">     </w:t>
      </w:r>
      <w:r>
        <w:rPr>
          <w:rFonts w:hint="eastAsia" w:ascii="仿宋" w:hAnsi="仿宋" w:eastAsia="仿宋" w:cs="仿宋"/>
          <w:kern w:val="1"/>
          <w:sz w:val="28"/>
          <w:szCs w:val="28"/>
          <w:highlight w:val="none"/>
          <w:u w:val="single"/>
        </w:rPr>
        <w:t>元/天承担违约责任。</w:t>
      </w:r>
    </w:p>
    <w:p w14:paraId="467FA84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13.3 工程试车</w:t>
      </w:r>
    </w:p>
    <w:p w14:paraId="62BB65E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13.3.1 试车程序</w:t>
      </w:r>
    </w:p>
    <w:p w14:paraId="4AC837DE">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工程试车内容：</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承包人应负责承包范围内的设备、电路、管线等系统的试运行，以及配合其他专业分包人的系统联合调试。试运行方案、配合联调方案执行国家相关标准、规范，相关费用由承包人承担</w:t>
      </w:r>
      <w:r>
        <w:rPr>
          <w:rFonts w:hint="eastAsia" w:ascii="仿宋" w:hAnsi="仿宋" w:eastAsia="仿宋" w:cs="仿宋"/>
          <w:b/>
          <w:color w:val="000000"/>
          <w:sz w:val="28"/>
          <w:szCs w:val="28"/>
          <w:highlight w:val="none"/>
        </w:rPr>
        <w:t>。</w:t>
      </w:r>
    </w:p>
    <w:p w14:paraId="03ED6BC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（1）单机无负荷试车费用由</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承包人</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承担；</w:t>
      </w:r>
    </w:p>
    <w:p w14:paraId="32E0DF6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（2）无负荷联动试车费用由</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承包人</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承担。</w:t>
      </w:r>
    </w:p>
    <w:p w14:paraId="2B10D53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13.3.2 投料试车</w:t>
      </w:r>
    </w:p>
    <w:p w14:paraId="5B4B4BD2">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关于投料试车相关事项的约定：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7BE01AE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13.4 竣工退场</w:t>
      </w:r>
    </w:p>
    <w:p w14:paraId="0ED00EC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13.4.1 竣工退场</w:t>
      </w:r>
    </w:p>
    <w:p w14:paraId="5DACFC2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承包人完成竣工退场的期限：</w:t>
      </w:r>
      <w:r>
        <w:rPr>
          <w:rFonts w:hint="eastAsia" w:ascii="仿宋" w:hAnsi="仿宋" w:eastAsia="仿宋" w:cs="仿宋"/>
          <w:b/>
          <w:sz w:val="28"/>
          <w:szCs w:val="28"/>
          <w:highlight w:val="none"/>
          <w:u w:val="single"/>
        </w:rPr>
        <w:t>承包人应在工程完工验收后7日内完成竣工退场，每逾期一天退场的，向发包人承担违约金人民币伍仟元。</w:t>
      </w:r>
      <w:r>
        <w:rPr>
          <w:rFonts w:hint="eastAsia" w:ascii="仿宋" w:hAnsi="仿宋" w:eastAsia="仿宋" w:cs="仿宋"/>
          <w:b/>
          <w:sz w:val="28"/>
          <w:szCs w:val="28"/>
          <w:highlight w:val="none"/>
          <w:u w:val="single" w:color="000000"/>
        </w:rPr>
        <w:t>发包人有权另行处理承包人的遗留物，由此支出的费用由承包人承担，发包人出售承包人遗留物所得</w:t>
      </w:r>
      <w:r>
        <w:rPr>
          <w:rFonts w:hint="eastAsia" w:ascii="仿宋" w:hAnsi="仿宋" w:eastAsia="仿宋" w:cs="仿宋"/>
          <w:kern w:val="1"/>
          <w:sz w:val="28"/>
          <w:szCs w:val="28"/>
          <w:highlight w:val="none"/>
          <w:u w:val="single"/>
        </w:rPr>
        <w:t xml:space="preserve"> </w:t>
      </w:r>
      <w:r>
        <w:rPr>
          <w:rFonts w:hint="eastAsia" w:ascii="仿宋" w:hAnsi="仿宋" w:eastAsia="仿宋" w:cs="仿宋"/>
          <w:b/>
          <w:sz w:val="28"/>
          <w:szCs w:val="28"/>
          <w:highlight w:val="none"/>
          <w:u w:val="single" w:color="000000"/>
        </w:rPr>
        <w:t>款项在扣除必要支出费用后的结余部分全部返还承包人</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2D79B37B">
      <w:pPr>
        <w:spacing w:line="360" w:lineRule="auto"/>
        <w:ind w:firstLine="560" w:firstLineChars="200"/>
        <w:rPr>
          <w:rFonts w:hint="eastAsia" w:ascii="仿宋" w:hAnsi="仿宋" w:eastAsia="仿宋" w:cs="仿宋"/>
          <w:kern w:val="1"/>
          <w:sz w:val="28"/>
          <w:szCs w:val="28"/>
          <w:highlight w:val="none"/>
        </w:rPr>
      </w:pPr>
      <w:bookmarkStart w:id="1086" w:name="_Toc351203646"/>
      <w:bookmarkEnd w:id="1086"/>
      <w:r>
        <w:rPr>
          <w:rFonts w:hint="eastAsia" w:ascii="仿宋" w:hAnsi="仿宋" w:eastAsia="仿宋" w:cs="仿宋"/>
          <w:kern w:val="1"/>
          <w:sz w:val="28"/>
          <w:szCs w:val="28"/>
          <w:highlight w:val="none"/>
        </w:rPr>
        <w:t>14. 竣工结算</w:t>
      </w:r>
    </w:p>
    <w:p w14:paraId="0B96CC7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14.1 竣工结算申请</w:t>
      </w:r>
    </w:p>
    <w:p w14:paraId="2A6E144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本工程分路段提交竣工结算申请。</w:t>
      </w:r>
    </w:p>
    <w:p w14:paraId="20ACF3E8">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承包人提交竣工结算申请单的期限：</w:t>
      </w:r>
      <w:r>
        <w:rPr>
          <w:rFonts w:hint="eastAsia" w:ascii="仿宋" w:hAnsi="仿宋" w:eastAsia="仿宋" w:cs="仿宋"/>
          <w:b/>
          <w:bCs/>
          <w:kern w:val="1"/>
          <w:sz w:val="28"/>
          <w:szCs w:val="28"/>
          <w:highlight w:val="none"/>
          <w:u w:val="single"/>
        </w:rPr>
        <w:t>在工程竣工验收合格后六十天内提交施工图加设计变更进行结算的竣工结算申请单及完整的结算资料十份。经发包人、监理人发函十五天内仍未提供或明确答复，发包人、监理人有权根据已有资料进行审查，出具的结算书有效，承包人不得有异议。</w:t>
      </w:r>
      <w:r>
        <w:rPr>
          <w:rFonts w:hint="eastAsia" w:ascii="仿宋" w:hAnsi="仿宋" w:eastAsia="仿宋" w:cs="仿宋"/>
          <w:kern w:val="1"/>
          <w:sz w:val="28"/>
          <w:szCs w:val="28"/>
          <w:highlight w:val="none"/>
          <w:u w:val="single"/>
        </w:rPr>
        <w:t xml:space="preserve">   </w:t>
      </w:r>
    </w:p>
    <w:p w14:paraId="28E8C1B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竣工结算申请单应包括的内容：</w:t>
      </w:r>
      <w:r>
        <w:rPr>
          <w:rFonts w:hint="eastAsia" w:ascii="仿宋" w:hAnsi="仿宋" w:eastAsia="仿宋" w:cs="仿宋"/>
          <w:b/>
          <w:sz w:val="28"/>
          <w:szCs w:val="28"/>
          <w:highlight w:val="none"/>
          <w:u w:val="single"/>
        </w:rPr>
        <w:t>（1）竣工结算合同价格；（2）发包</w:t>
      </w:r>
      <w:r>
        <w:rPr>
          <w:rFonts w:hint="eastAsia" w:ascii="仿宋" w:hAnsi="仿宋" w:eastAsia="仿宋" w:cs="仿宋"/>
          <w:b/>
          <w:color w:val="000000"/>
          <w:sz w:val="28"/>
          <w:szCs w:val="28"/>
          <w:highlight w:val="none"/>
          <w:u w:val="single"/>
        </w:rPr>
        <w:t>人已支付承包人的款项；（3）应扣留的质量保证金；（4）承包人应支付发包人的违约金、赔偿金以及代付应扣款项金额；（5）发包人应支付承包人的合同价款。</w:t>
      </w:r>
      <w:r>
        <w:rPr>
          <w:rFonts w:hint="eastAsia" w:ascii="仿宋" w:hAnsi="仿宋" w:eastAsia="仿宋" w:cs="仿宋"/>
          <w:kern w:val="1"/>
          <w:sz w:val="28"/>
          <w:szCs w:val="28"/>
          <w:highlight w:val="none"/>
          <w:u w:val="single"/>
        </w:rPr>
        <w:t xml:space="preserve"> </w:t>
      </w:r>
    </w:p>
    <w:p w14:paraId="62A5964B">
      <w:pPr>
        <w:spacing w:line="360" w:lineRule="auto"/>
        <w:ind w:firstLine="562" w:firstLineChars="200"/>
        <w:rPr>
          <w:rFonts w:hint="eastAsia" w:ascii="仿宋" w:hAnsi="仿宋" w:eastAsia="仿宋" w:cs="仿宋"/>
          <w:b/>
          <w:bCs/>
          <w:kern w:val="1"/>
          <w:sz w:val="28"/>
          <w:szCs w:val="28"/>
          <w:highlight w:val="none"/>
        </w:rPr>
      </w:pPr>
      <w:r>
        <w:rPr>
          <w:rFonts w:hint="eastAsia" w:ascii="仿宋" w:hAnsi="仿宋" w:eastAsia="仿宋" w:cs="仿宋"/>
          <w:b/>
          <w:bCs/>
          <w:kern w:val="1"/>
          <w:sz w:val="28"/>
          <w:szCs w:val="28"/>
          <w:highlight w:val="none"/>
        </w:rPr>
        <w:t>关于承包人提交结算资料的约定：</w:t>
      </w:r>
    </w:p>
    <w:p w14:paraId="5D1351A1">
      <w:pPr>
        <w:numPr>
          <w:ilvl w:val="0"/>
          <w:numId w:val="9"/>
        </w:num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承包人提交的结算资料至少应包含以下内容（书面版及电子版同时提供）：</w:t>
      </w:r>
    </w:p>
    <w:p w14:paraId="47A434B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①施工合同文件，补充协议书；</w:t>
      </w:r>
    </w:p>
    <w:p w14:paraId="51B5636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②磋商文件、答疑（更正）文件、响应文件（含已标价工程量清单）；</w:t>
      </w:r>
    </w:p>
    <w:p w14:paraId="12A0760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③施工图、竣工图纸；</w:t>
      </w:r>
    </w:p>
    <w:p w14:paraId="238DADC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④材料设备价格确认单，材料设备到货验收单，材差调整审定文件；</w:t>
      </w:r>
    </w:p>
    <w:p w14:paraId="65212B9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⑤设计变更单、现场签证及相应的预算书；</w:t>
      </w:r>
    </w:p>
    <w:p w14:paraId="3A79407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⑥工程竣工验收资料；</w:t>
      </w:r>
    </w:p>
    <w:p w14:paraId="230DA6D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⑦工程结算申请书；</w:t>
      </w:r>
    </w:p>
    <w:p w14:paraId="2234DD4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⑧工期、质量、安全文明的奖励或处罚，及违约金索赔单；</w:t>
      </w:r>
    </w:p>
    <w:p w14:paraId="57032C4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⑨其他与工程结算相关的双方确认的协议书等有效证明文件。</w:t>
      </w:r>
    </w:p>
    <w:p w14:paraId="57F8F0F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（2）【设计变更单、现场签证】等结算资料应为原件，而且不能另补，因发包人原因造成没有存档的资料除外。</w:t>
      </w:r>
    </w:p>
    <w:p w14:paraId="51D24B1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（3）竣工图必须正确反应现场情况，并按有关规定正确绘制。若发现竣工图失实或弄虚作假，发现一（1）处承包人应支付违约金</w:t>
      </w:r>
      <w:r>
        <w:rPr>
          <w:rFonts w:hint="eastAsia" w:ascii="仿宋" w:hAnsi="仿宋" w:eastAsia="仿宋" w:cs="仿宋"/>
          <w:kern w:val="1"/>
          <w:sz w:val="28"/>
          <w:szCs w:val="28"/>
          <w:highlight w:val="none"/>
          <w:u w:val="single"/>
          <w:lang w:val="en-US" w:eastAsia="zh-CN"/>
        </w:rPr>
        <w:t xml:space="preserve"> 500 </w:t>
      </w:r>
      <w:r>
        <w:rPr>
          <w:rFonts w:hint="eastAsia" w:ascii="仿宋" w:hAnsi="仿宋" w:eastAsia="仿宋" w:cs="仿宋"/>
          <w:kern w:val="1"/>
          <w:sz w:val="28"/>
          <w:szCs w:val="28"/>
          <w:highlight w:val="none"/>
        </w:rPr>
        <w:t>元，发现两（2）处支付违约金</w:t>
      </w:r>
      <w:r>
        <w:rPr>
          <w:rFonts w:hint="eastAsia" w:ascii="仿宋" w:hAnsi="仿宋" w:eastAsia="仿宋" w:cs="仿宋"/>
          <w:kern w:val="1"/>
          <w:sz w:val="28"/>
          <w:szCs w:val="28"/>
          <w:highlight w:val="none"/>
          <w:u w:val="single"/>
          <w:lang w:val="en-US" w:eastAsia="zh-CN"/>
        </w:rPr>
        <w:t xml:space="preserve"> 1000 </w:t>
      </w:r>
      <w:r>
        <w:rPr>
          <w:rFonts w:hint="eastAsia" w:ascii="仿宋" w:hAnsi="仿宋" w:eastAsia="仿宋" w:cs="仿宋"/>
          <w:kern w:val="1"/>
          <w:sz w:val="28"/>
          <w:szCs w:val="28"/>
          <w:highlight w:val="none"/>
        </w:rPr>
        <w:t>元，发现三（3）处支付违约金</w:t>
      </w:r>
      <w:r>
        <w:rPr>
          <w:rFonts w:hint="eastAsia" w:ascii="仿宋" w:hAnsi="仿宋" w:eastAsia="仿宋" w:cs="仿宋"/>
          <w:kern w:val="1"/>
          <w:sz w:val="28"/>
          <w:szCs w:val="28"/>
          <w:highlight w:val="none"/>
          <w:u w:val="single"/>
          <w:lang w:val="en-US" w:eastAsia="zh-CN"/>
        </w:rPr>
        <w:t xml:space="preserve"> 6000 </w:t>
      </w:r>
      <w:r>
        <w:rPr>
          <w:rFonts w:hint="eastAsia" w:ascii="仿宋" w:hAnsi="仿宋" w:eastAsia="仿宋" w:cs="仿宋"/>
          <w:kern w:val="1"/>
          <w:sz w:val="28"/>
          <w:szCs w:val="28"/>
          <w:highlight w:val="none"/>
        </w:rPr>
        <w:t>元，发现四（4）处支付违约金</w:t>
      </w:r>
      <w:r>
        <w:rPr>
          <w:rFonts w:hint="eastAsia" w:ascii="仿宋" w:hAnsi="仿宋" w:eastAsia="仿宋" w:cs="仿宋"/>
          <w:kern w:val="1"/>
          <w:sz w:val="28"/>
          <w:szCs w:val="28"/>
          <w:highlight w:val="none"/>
          <w:u w:val="single"/>
          <w:lang w:val="en-US" w:eastAsia="zh-CN"/>
        </w:rPr>
        <w:t>30000</w:t>
      </w:r>
      <w:r>
        <w:rPr>
          <w:rFonts w:hint="eastAsia" w:ascii="仿宋" w:hAnsi="仿宋" w:eastAsia="仿宋" w:cs="仿宋"/>
          <w:kern w:val="1"/>
          <w:sz w:val="28"/>
          <w:szCs w:val="28"/>
          <w:highlight w:val="none"/>
        </w:rPr>
        <w:t>元，依此类推。发现十（10）处以上，除支付违约金外，承包人须重新绘制竣工图。</w:t>
      </w:r>
    </w:p>
    <w:p w14:paraId="770C1FC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14.2 竣工结算审核</w:t>
      </w:r>
    </w:p>
    <w:p w14:paraId="6E542E8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监理人应在收到竣工结算申请单后三十天内完成核查并报送发包人。发包人应在收到监理人提交的经审核的竣工结算申请单后一百八十天内完成审核，并提出意见。监理人或发包人对竣工结算申请单有异议的，有权要求承包人进行修正和提供补充资料，承包人应提交修正后的竣工结算申请单。</w:t>
      </w:r>
    </w:p>
    <w:p w14:paraId="695CB12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结算相关的其他约定：</w:t>
      </w:r>
    </w:p>
    <w:p w14:paraId="7583219B">
      <w:pPr>
        <w:numPr>
          <w:ilvl w:val="0"/>
          <w:numId w:val="10"/>
        </w:numPr>
        <w:spacing w:line="360" w:lineRule="auto"/>
        <w:ind w:left="0"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结算总价的确定：结算总价=合同价+设计变更+</w:t>
      </w:r>
      <w:r>
        <w:rPr>
          <w:rFonts w:hint="eastAsia" w:ascii="仿宋" w:hAnsi="仿宋" w:eastAsia="仿宋" w:cs="仿宋"/>
          <w:b/>
          <w:kern w:val="1"/>
          <w:sz w:val="28"/>
          <w:szCs w:val="28"/>
          <w:highlight w:val="none"/>
        </w:rPr>
        <w:t>有效现场签证+补充协议-减少项目+奖励-违约金（罚金）</w:t>
      </w:r>
      <w:r>
        <w:rPr>
          <w:rFonts w:hint="eastAsia" w:ascii="仿宋" w:hAnsi="仿宋" w:eastAsia="仿宋" w:cs="仿宋"/>
          <w:kern w:val="1"/>
          <w:sz w:val="28"/>
          <w:szCs w:val="28"/>
          <w:highlight w:val="none"/>
        </w:rPr>
        <w:t>，要求分项计算并编制分项汇总表。</w:t>
      </w:r>
    </w:p>
    <w:p w14:paraId="2573F1E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②在竣工结算审核或审计期间，承包人有义务及时配合发包人、监理人的审查、审计工作，提供发包人、监理人需要的资料和进行相关的解释说明，在发包人、监理人发函十天内，承包人仍无正当理由不配合及不签字认可结算结果的，发包人、监理人有权自行审查，出具的结算书有效，承包人不得有异议。</w:t>
      </w:r>
    </w:p>
    <w:p w14:paraId="10A6BF4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③承包人须无条件配合发包人进行项目工程的结算审核工作。</w:t>
      </w:r>
    </w:p>
    <w:p w14:paraId="44CA3971">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kern w:val="1"/>
          <w:sz w:val="28"/>
          <w:szCs w:val="28"/>
          <w:highlight w:val="none"/>
        </w:rPr>
        <w:t>发包人完成竣工付款的期限：</w:t>
      </w:r>
      <w:r>
        <w:rPr>
          <w:rFonts w:hint="eastAsia" w:ascii="仿宋" w:hAnsi="仿宋" w:eastAsia="仿宋" w:cs="仿宋"/>
          <w:b/>
          <w:bCs/>
          <w:kern w:val="1"/>
          <w:sz w:val="28"/>
          <w:szCs w:val="28"/>
          <w:highlight w:val="none"/>
          <w:u w:val="single"/>
        </w:rPr>
        <w:t>承包人递交完整的竣工结算申请后30日内。</w:t>
      </w:r>
    </w:p>
    <w:p w14:paraId="5BBD79B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④承包人须无条件配合发包人进行项目工程的结算审计工作。</w:t>
      </w:r>
    </w:p>
    <w:p w14:paraId="74A5FF9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发包人完成竣工付款的期限：按专用条款“12.4 工程进度款支付”执行。</w:t>
      </w:r>
    </w:p>
    <w:p w14:paraId="5FF21044">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关于竣工付款证书异议部分复核的方式和程序：/。</w:t>
      </w:r>
    </w:p>
    <w:p w14:paraId="4FBAB3F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14.3 竣工结算限额：</w:t>
      </w:r>
    </w:p>
    <w:p w14:paraId="2C270A6A">
      <w:pPr>
        <w:spacing w:line="360" w:lineRule="auto"/>
        <w:ind w:firstLine="560" w:firstLineChars="200"/>
        <w:rPr>
          <w:rFonts w:hint="eastAsia" w:ascii="仿宋" w:hAnsi="仿宋" w:eastAsia="仿宋" w:cs="仿宋"/>
          <w:b/>
          <w:kern w:val="1"/>
          <w:sz w:val="28"/>
          <w:szCs w:val="28"/>
          <w:highlight w:val="none"/>
        </w:rPr>
      </w:pPr>
      <w:r>
        <w:rPr>
          <w:rFonts w:hint="eastAsia" w:ascii="仿宋" w:hAnsi="仿宋" w:eastAsia="仿宋" w:cs="仿宋"/>
          <w:sz w:val="28"/>
          <w:szCs w:val="28"/>
          <w:highlight w:val="none"/>
        </w:rPr>
        <w:t>工程结算计价依据：同磋商文件投标报价计价依据</w:t>
      </w:r>
    </w:p>
    <w:p w14:paraId="3BAEA79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14.4 最终结清</w:t>
      </w:r>
    </w:p>
    <w:p w14:paraId="4A6FB3A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14.4.1 最终结清申请单</w:t>
      </w:r>
    </w:p>
    <w:p w14:paraId="6165306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承包人提交最终结清申请单的份数：</w:t>
      </w:r>
      <w:r>
        <w:rPr>
          <w:rFonts w:hint="eastAsia" w:ascii="仿宋" w:hAnsi="仿宋" w:eastAsia="仿宋" w:cs="仿宋"/>
          <w:kern w:val="1"/>
          <w:sz w:val="28"/>
          <w:szCs w:val="28"/>
          <w:highlight w:val="none"/>
          <w:u w:val="single"/>
        </w:rPr>
        <w:t xml:space="preserve">   8份   </w:t>
      </w:r>
      <w:r>
        <w:rPr>
          <w:rFonts w:hint="eastAsia" w:ascii="仿宋" w:hAnsi="仿宋" w:eastAsia="仿宋" w:cs="仿宋"/>
          <w:kern w:val="1"/>
          <w:sz w:val="28"/>
          <w:szCs w:val="28"/>
          <w:highlight w:val="none"/>
        </w:rPr>
        <w:t>。</w:t>
      </w:r>
    </w:p>
    <w:p w14:paraId="1E40872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承包人提交最终结算申请单的期限：</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rPr>
        <w:t>工程保修期终止后14天内</w:t>
      </w:r>
      <w:r>
        <w:rPr>
          <w:rFonts w:hint="eastAsia" w:ascii="仿宋" w:hAnsi="仿宋" w:eastAsia="仿宋" w:cs="仿宋"/>
          <w:b/>
          <w:sz w:val="28"/>
          <w:szCs w:val="28"/>
          <w:highlight w:val="none"/>
          <w:u w:val="single"/>
        </w:rPr>
        <w:t xml:space="preserve"> </w:t>
      </w:r>
      <w:r>
        <w:rPr>
          <w:rFonts w:hint="eastAsia" w:ascii="仿宋" w:hAnsi="仿宋" w:eastAsia="仿宋" w:cs="仿宋"/>
          <w:kern w:val="1"/>
          <w:sz w:val="28"/>
          <w:szCs w:val="28"/>
          <w:highlight w:val="none"/>
          <w:u w:val="single"/>
        </w:rPr>
        <w:t xml:space="preserve">  。 </w:t>
      </w:r>
    </w:p>
    <w:p w14:paraId="1639777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14.4.2 最终结清证书和支付</w:t>
      </w:r>
    </w:p>
    <w:p w14:paraId="648B0DC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（1）发包人完成最终结清申请单的审批并颁发最终结清证书的期限：</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收到承包人提交的最终结清申请单后28天内</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43F9636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（2）发包人完成支付的期限：</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颁发最终结清证书后30天内完成支付</w:t>
      </w:r>
      <w:r>
        <w:rPr>
          <w:rFonts w:hint="eastAsia" w:ascii="仿宋" w:hAnsi="仿宋" w:eastAsia="仿宋" w:cs="仿宋"/>
          <w:b/>
          <w:sz w:val="28"/>
          <w:szCs w:val="28"/>
          <w:highlight w:val="none"/>
        </w:rPr>
        <w:t xml:space="preserve"> </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7B3DF216">
      <w:pPr>
        <w:spacing w:line="360" w:lineRule="auto"/>
        <w:ind w:firstLine="560" w:firstLineChars="200"/>
        <w:rPr>
          <w:rFonts w:hint="eastAsia" w:ascii="仿宋" w:hAnsi="仿宋" w:eastAsia="仿宋" w:cs="仿宋"/>
          <w:kern w:val="1"/>
          <w:sz w:val="28"/>
          <w:szCs w:val="28"/>
          <w:highlight w:val="none"/>
        </w:rPr>
      </w:pPr>
      <w:bookmarkStart w:id="1087" w:name="_Toc267251489"/>
      <w:bookmarkEnd w:id="1087"/>
      <w:bookmarkStart w:id="1088" w:name="_Toc267251484"/>
      <w:bookmarkEnd w:id="1088"/>
      <w:bookmarkStart w:id="1089" w:name="_Toc267251499"/>
      <w:bookmarkEnd w:id="1089"/>
      <w:bookmarkStart w:id="1090" w:name="_Toc267251508"/>
      <w:bookmarkEnd w:id="1090"/>
      <w:bookmarkStart w:id="1091" w:name="_Toc351203647"/>
      <w:bookmarkEnd w:id="1091"/>
      <w:bookmarkStart w:id="1092" w:name="_Toc267251503"/>
      <w:bookmarkEnd w:id="1092"/>
      <w:bookmarkStart w:id="1093" w:name="_Toc267251511"/>
      <w:bookmarkEnd w:id="1093"/>
      <w:bookmarkStart w:id="1094" w:name="_Toc267251494"/>
      <w:bookmarkEnd w:id="1094"/>
      <w:bookmarkStart w:id="1095" w:name="_Toc267251482"/>
      <w:bookmarkEnd w:id="1095"/>
      <w:bookmarkStart w:id="1096" w:name="_Toc267251491"/>
      <w:bookmarkEnd w:id="1096"/>
      <w:bookmarkStart w:id="1097" w:name="_Toc267251502"/>
      <w:bookmarkEnd w:id="1097"/>
      <w:bookmarkStart w:id="1098" w:name="_Toc267251514"/>
      <w:bookmarkEnd w:id="1098"/>
      <w:bookmarkStart w:id="1099" w:name="_Toc267251497"/>
      <w:bookmarkEnd w:id="1099"/>
      <w:bookmarkStart w:id="1100" w:name="_Toc267251515"/>
      <w:bookmarkEnd w:id="1100"/>
      <w:bookmarkStart w:id="1101" w:name="_Toc267251486"/>
      <w:bookmarkEnd w:id="1101"/>
      <w:bookmarkStart w:id="1102" w:name="_Toc267251501"/>
      <w:bookmarkEnd w:id="1102"/>
      <w:bookmarkStart w:id="1103" w:name="_Toc267251488"/>
      <w:bookmarkEnd w:id="1103"/>
      <w:bookmarkStart w:id="1104" w:name="_Toc267251513"/>
      <w:bookmarkEnd w:id="1104"/>
      <w:bookmarkStart w:id="1105" w:name="_Toc267251506"/>
      <w:bookmarkEnd w:id="1105"/>
      <w:bookmarkStart w:id="1106" w:name="_Toc267251483"/>
      <w:bookmarkEnd w:id="1106"/>
      <w:bookmarkStart w:id="1107" w:name="_Toc267251492"/>
      <w:bookmarkEnd w:id="1107"/>
      <w:bookmarkStart w:id="1108" w:name="_Toc267251496"/>
      <w:bookmarkEnd w:id="1108"/>
      <w:bookmarkStart w:id="1109" w:name="_Toc267251509"/>
      <w:bookmarkEnd w:id="1109"/>
      <w:bookmarkStart w:id="1110" w:name="_Toc267251495"/>
      <w:bookmarkEnd w:id="1110"/>
      <w:bookmarkStart w:id="1111" w:name="_Toc267251510"/>
      <w:bookmarkEnd w:id="1111"/>
      <w:bookmarkStart w:id="1112" w:name="_Toc267251485"/>
      <w:bookmarkEnd w:id="1112"/>
      <w:bookmarkStart w:id="1113" w:name="_Toc267251490"/>
      <w:bookmarkEnd w:id="1113"/>
      <w:bookmarkStart w:id="1114" w:name="_Toc267251498"/>
      <w:bookmarkEnd w:id="1114"/>
      <w:bookmarkStart w:id="1115" w:name="_Toc267251504"/>
      <w:bookmarkEnd w:id="1115"/>
      <w:bookmarkStart w:id="1116" w:name="_Toc267251493"/>
      <w:bookmarkEnd w:id="1116"/>
      <w:bookmarkStart w:id="1117" w:name="_Toc267251507"/>
      <w:bookmarkEnd w:id="1117"/>
      <w:r>
        <w:rPr>
          <w:rFonts w:hint="eastAsia" w:ascii="仿宋" w:hAnsi="仿宋" w:eastAsia="仿宋" w:cs="仿宋"/>
          <w:kern w:val="1"/>
          <w:sz w:val="28"/>
          <w:szCs w:val="28"/>
          <w:highlight w:val="none"/>
        </w:rPr>
        <w:t>15. 缺陷责任期与保修</w:t>
      </w:r>
    </w:p>
    <w:p w14:paraId="41C3A67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15.1缺陷责任期</w:t>
      </w:r>
    </w:p>
    <w:p w14:paraId="5A5E2D10">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缺陷责任期的具体期限：</w:t>
      </w:r>
      <w:r>
        <w:rPr>
          <w:rFonts w:hint="eastAsia" w:ascii="仿宋" w:hAnsi="仿宋" w:eastAsia="仿宋" w:cs="仿宋"/>
          <w:kern w:val="1"/>
          <w:sz w:val="28"/>
          <w:szCs w:val="28"/>
          <w:highlight w:val="none"/>
          <w:u w:val="single"/>
        </w:rPr>
        <w:t xml:space="preserve"> 自竣工验收合格之</w:t>
      </w:r>
      <w:r>
        <w:rPr>
          <w:rFonts w:hint="eastAsia" w:ascii="仿宋" w:hAnsi="仿宋" w:eastAsia="仿宋" w:cs="仿宋"/>
          <w:color w:val="auto"/>
          <w:kern w:val="1"/>
          <w:sz w:val="28"/>
          <w:szCs w:val="28"/>
          <w:highlight w:val="none"/>
          <w:u w:val="single"/>
        </w:rPr>
        <w:t>日起24个</w:t>
      </w:r>
      <w:r>
        <w:rPr>
          <w:rFonts w:hint="eastAsia" w:ascii="仿宋" w:hAnsi="仿宋" w:eastAsia="仿宋" w:cs="仿宋"/>
          <w:kern w:val="1"/>
          <w:sz w:val="28"/>
          <w:szCs w:val="28"/>
          <w:highlight w:val="none"/>
          <w:u w:val="single"/>
        </w:rPr>
        <w:t>月 。</w:t>
      </w:r>
    </w:p>
    <w:p w14:paraId="5F49A9A9">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15.2 质量保证金</w:t>
      </w:r>
    </w:p>
    <w:p w14:paraId="28ABD1F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关于是否扣留质量保证金的约定：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rPr>
        <w:t>扣留质量保证金</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4F36C07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15.2.1 承包人提供质量保证金的方式</w:t>
      </w:r>
    </w:p>
    <w:p w14:paraId="7507DB1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质量保证金采用以下</w:t>
      </w:r>
      <w:r>
        <w:rPr>
          <w:rFonts w:hint="eastAsia" w:ascii="仿宋" w:hAnsi="仿宋" w:eastAsia="仿宋" w:cs="仿宋"/>
          <w:kern w:val="1"/>
          <w:sz w:val="28"/>
          <w:szCs w:val="28"/>
          <w:highlight w:val="none"/>
          <w:u w:val="single"/>
        </w:rPr>
        <w:t xml:space="preserve"> 1或2 </w:t>
      </w:r>
      <w:r>
        <w:rPr>
          <w:rFonts w:hint="eastAsia" w:ascii="仿宋" w:hAnsi="仿宋" w:eastAsia="仿宋" w:cs="仿宋"/>
          <w:kern w:val="1"/>
          <w:sz w:val="28"/>
          <w:szCs w:val="28"/>
          <w:highlight w:val="none"/>
        </w:rPr>
        <w:t>种方式：</w:t>
      </w:r>
    </w:p>
    <w:p w14:paraId="269B2DB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（1）质量保证金保函，保证金额为：</w:t>
      </w:r>
      <w:r>
        <w:rPr>
          <w:rFonts w:hint="eastAsia" w:ascii="仿宋" w:hAnsi="仿宋" w:eastAsia="仿宋" w:cs="仿宋"/>
          <w:kern w:val="1"/>
          <w:sz w:val="28"/>
          <w:szCs w:val="28"/>
          <w:highlight w:val="none"/>
          <w:u w:val="single"/>
        </w:rPr>
        <w:t xml:space="preserve"> 3 %的工程款  </w:t>
      </w:r>
      <w:r>
        <w:rPr>
          <w:rFonts w:hint="eastAsia" w:ascii="仿宋" w:hAnsi="仿宋" w:eastAsia="仿宋" w:cs="仿宋"/>
          <w:kern w:val="1"/>
          <w:sz w:val="28"/>
          <w:szCs w:val="28"/>
          <w:highlight w:val="none"/>
        </w:rPr>
        <w:t xml:space="preserve">； </w:t>
      </w:r>
    </w:p>
    <w:p w14:paraId="1722B6C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w:t>
      </w:r>
      <w:r>
        <w:rPr>
          <w:rFonts w:hint="eastAsia" w:ascii="仿宋" w:hAnsi="仿宋" w:eastAsia="仿宋" w:cs="仿宋"/>
          <w:kern w:val="1"/>
          <w:sz w:val="28"/>
          <w:szCs w:val="28"/>
          <w:highlight w:val="none"/>
          <w:u w:val="single"/>
        </w:rPr>
        <w:t xml:space="preserve">  3 </w:t>
      </w:r>
      <w:r>
        <w:rPr>
          <w:rFonts w:hint="eastAsia" w:ascii="仿宋" w:hAnsi="仿宋" w:eastAsia="仿宋" w:cs="仿宋"/>
          <w:kern w:val="1"/>
          <w:sz w:val="28"/>
          <w:szCs w:val="28"/>
          <w:highlight w:val="none"/>
        </w:rPr>
        <w:t>%的工程款；</w:t>
      </w:r>
    </w:p>
    <w:p w14:paraId="492936A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 xml:space="preserve">15.2.2 质量保证金的扣留 </w:t>
      </w:r>
    </w:p>
    <w:p w14:paraId="792EE8B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质量保证金的扣留采取以下第</w:t>
      </w:r>
      <w:r>
        <w:rPr>
          <w:rFonts w:hint="eastAsia" w:ascii="仿宋" w:hAnsi="仿宋" w:eastAsia="仿宋" w:cs="仿宋"/>
          <w:kern w:val="1"/>
          <w:sz w:val="28"/>
          <w:szCs w:val="28"/>
          <w:highlight w:val="none"/>
          <w:u w:val="single"/>
        </w:rPr>
        <w:t xml:space="preserve"> 2或3 </w:t>
      </w:r>
      <w:r>
        <w:rPr>
          <w:rFonts w:hint="eastAsia" w:ascii="仿宋" w:hAnsi="仿宋" w:eastAsia="仿宋" w:cs="仿宋"/>
          <w:kern w:val="1"/>
          <w:sz w:val="28"/>
          <w:szCs w:val="28"/>
          <w:highlight w:val="none"/>
        </w:rPr>
        <w:t>种方式：</w:t>
      </w:r>
    </w:p>
    <w:p w14:paraId="292172A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（1）在支付工程进度款时逐次扣留，在此情形下，质量保证金的计算基数不包括预付款的支付、扣回以及价格调整的金额；</w:t>
      </w:r>
    </w:p>
    <w:p w14:paraId="1BF82B5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（2）工程竣工结算时一次性</w:t>
      </w:r>
      <w:r>
        <w:rPr>
          <w:rFonts w:hint="eastAsia" w:ascii="仿宋" w:hAnsi="仿宋" w:eastAsia="仿宋" w:cs="仿宋"/>
          <w:kern w:val="1"/>
          <w:sz w:val="28"/>
          <w:szCs w:val="28"/>
          <w:highlight w:val="none"/>
          <w:lang w:eastAsia="zh-CN"/>
        </w:rPr>
        <w:t>交付</w:t>
      </w:r>
      <w:r>
        <w:rPr>
          <w:rFonts w:hint="eastAsia" w:ascii="仿宋" w:hAnsi="仿宋" w:eastAsia="仿宋" w:cs="仿宋"/>
          <w:kern w:val="1"/>
          <w:sz w:val="28"/>
          <w:szCs w:val="28"/>
          <w:highlight w:val="none"/>
        </w:rPr>
        <w:t>质量保证金；</w:t>
      </w:r>
    </w:p>
    <w:p w14:paraId="3A7C221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（3）其他扣留方式:</w:t>
      </w:r>
      <w:r>
        <w:rPr>
          <w:rFonts w:hint="eastAsia" w:ascii="仿宋" w:hAnsi="仿宋" w:eastAsia="仿宋" w:cs="仿宋"/>
          <w:kern w:val="1"/>
          <w:sz w:val="28"/>
          <w:szCs w:val="28"/>
          <w:highlight w:val="none"/>
          <w:u w:val="single"/>
        </w:rPr>
        <w:t xml:space="preserve"> 采用保函或担保形式递交质量保证金的，不在工程款中重复扣留质量保证金 </w:t>
      </w:r>
      <w:r>
        <w:rPr>
          <w:rFonts w:hint="eastAsia" w:ascii="仿宋" w:hAnsi="仿宋" w:eastAsia="仿宋" w:cs="仿宋"/>
          <w:kern w:val="1"/>
          <w:sz w:val="28"/>
          <w:szCs w:val="28"/>
          <w:highlight w:val="none"/>
        </w:rPr>
        <w:t>。</w:t>
      </w:r>
    </w:p>
    <w:p w14:paraId="66217099">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关于质量保证金的补充约定：</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71178BEE">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15.3保修</w:t>
      </w:r>
    </w:p>
    <w:p w14:paraId="514AFEFA">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15.3.1 保修责任</w:t>
      </w:r>
    </w:p>
    <w:p w14:paraId="72FB5C2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工程保修期为：</w:t>
      </w:r>
    </w:p>
    <w:p w14:paraId="77DAAAE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⑴地基基础工程和主体结构工程为设计文件规定的工程合理使用年限；</w:t>
      </w:r>
    </w:p>
    <w:p w14:paraId="43AC1D8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⑵屋面防水工程、有防水要求的卫生间、房间和外墙面的防渗为</w:t>
      </w:r>
      <w:r>
        <w:rPr>
          <w:rFonts w:hint="eastAsia" w:ascii="仿宋" w:hAnsi="仿宋" w:eastAsia="仿宋" w:cs="仿宋"/>
          <w:kern w:val="1"/>
          <w:sz w:val="28"/>
          <w:szCs w:val="28"/>
          <w:highlight w:val="none"/>
          <w:u w:val="single"/>
        </w:rPr>
        <w:t xml:space="preserve">   5   </w:t>
      </w:r>
      <w:r>
        <w:rPr>
          <w:rFonts w:hint="eastAsia" w:ascii="仿宋" w:hAnsi="仿宋" w:eastAsia="仿宋" w:cs="仿宋"/>
          <w:kern w:val="1"/>
          <w:sz w:val="28"/>
          <w:szCs w:val="28"/>
          <w:highlight w:val="none"/>
        </w:rPr>
        <w:t>年；</w:t>
      </w:r>
    </w:p>
    <w:p w14:paraId="2B56DEC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⑶装修工程为</w:t>
      </w:r>
      <w:r>
        <w:rPr>
          <w:rFonts w:hint="eastAsia" w:ascii="仿宋" w:hAnsi="仿宋" w:eastAsia="仿宋" w:cs="仿宋"/>
          <w:kern w:val="1"/>
          <w:sz w:val="28"/>
          <w:szCs w:val="28"/>
          <w:highlight w:val="none"/>
          <w:u w:val="single"/>
        </w:rPr>
        <w:t xml:space="preserve">   2   </w:t>
      </w:r>
      <w:r>
        <w:rPr>
          <w:rFonts w:hint="eastAsia" w:ascii="仿宋" w:hAnsi="仿宋" w:eastAsia="仿宋" w:cs="仿宋"/>
          <w:kern w:val="1"/>
          <w:sz w:val="28"/>
          <w:szCs w:val="28"/>
          <w:highlight w:val="none"/>
        </w:rPr>
        <w:t>年；</w:t>
      </w:r>
    </w:p>
    <w:p w14:paraId="1B66CE2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⑷电气管线、给排水管道、设备安装工程为</w:t>
      </w:r>
      <w:r>
        <w:rPr>
          <w:rFonts w:hint="eastAsia" w:ascii="仿宋" w:hAnsi="仿宋" w:eastAsia="仿宋" w:cs="仿宋"/>
          <w:kern w:val="1"/>
          <w:sz w:val="28"/>
          <w:szCs w:val="28"/>
          <w:highlight w:val="none"/>
          <w:u w:val="single"/>
        </w:rPr>
        <w:t xml:space="preserve">    2   </w:t>
      </w:r>
      <w:r>
        <w:rPr>
          <w:rFonts w:hint="eastAsia" w:ascii="仿宋" w:hAnsi="仿宋" w:eastAsia="仿宋" w:cs="仿宋"/>
          <w:kern w:val="1"/>
          <w:sz w:val="28"/>
          <w:szCs w:val="28"/>
          <w:highlight w:val="none"/>
        </w:rPr>
        <w:t>年；</w:t>
      </w:r>
    </w:p>
    <w:p w14:paraId="7E3C9038">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⑸供热与供冷系统为</w:t>
      </w:r>
      <w:r>
        <w:rPr>
          <w:rFonts w:hint="eastAsia" w:ascii="仿宋" w:hAnsi="仿宋" w:eastAsia="仿宋" w:cs="仿宋"/>
          <w:kern w:val="1"/>
          <w:sz w:val="28"/>
          <w:szCs w:val="28"/>
          <w:highlight w:val="none"/>
          <w:u w:val="single"/>
        </w:rPr>
        <w:t xml:space="preserve">    2   </w:t>
      </w:r>
      <w:r>
        <w:rPr>
          <w:rFonts w:hint="eastAsia" w:ascii="仿宋" w:hAnsi="仿宋" w:eastAsia="仿宋" w:cs="仿宋"/>
          <w:kern w:val="1"/>
          <w:sz w:val="28"/>
          <w:szCs w:val="28"/>
          <w:highlight w:val="none"/>
        </w:rPr>
        <w:t>个采暖期、供冷期；</w:t>
      </w:r>
    </w:p>
    <w:p w14:paraId="5B4479F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⑹住宅小区内的给排水设施、道路等配套工程为</w:t>
      </w:r>
      <w:r>
        <w:rPr>
          <w:rFonts w:hint="eastAsia" w:ascii="仿宋" w:hAnsi="仿宋" w:eastAsia="仿宋" w:cs="仿宋"/>
          <w:kern w:val="1"/>
          <w:sz w:val="28"/>
          <w:szCs w:val="28"/>
          <w:highlight w:val="none"/>
          <w:u w:val="single"/>
        </w:rPr>
        <w:t xml:space="preserve">    1   </w:t>
      </w:r>
      <w:r>
        <w:rPr>
          <w:rFonts w:hint="eastAsia" w:ascii="仿宋" w:hAnsi="仿宋" w:eastAsia="仿宋" w:cs="仿宋"/>
          <w:kern w:val="1"/>
          <w:sz w:val="28"/>
          <w:szCs w:val="28"/>
          <w:highlight w:val="none"/>
        </w:rPr>
        <w:t>年；</w:t>
      </w:r>
    </w:p>
    <w:p w14:paraId="7F62C540">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⑺其他项目保修期限约定如下：</w:t>
      </w:r>
      <w:r>
        <w:rPr>
          <w:rFonts w:hint="eastAsia" w:ascii="仿宋" w:hAnsi="仿宋" w:eastAsia="仿宋" w:cs="仿宋"/>
          <w:kern w:val="1"/>
          <w:sz w:val="28"/>
          <w:szCs w:val="28"/>
          <w:highlight w:val="none"/>
          <w:u w:val="single"/>
        </w:rPr>
        <w:t xml:space="preserve"> 按国家标准 </w:t>
      </w:r>
      <w:r>
        <w:rPr>
          <w:rFonts w:hint="eastAsia" w:ascii="仿宋" w:hAnsi="仿宋" w:eastAsia="仿宋" w:cs="仿宋"/>
          <w:kern w:val="1"/>
          <w:sz w:val="28"/>
          <w:szCs w:val="28"/>
          <w:highlight w:val="none"/>
        </w:rPr>
        <w:t>质量保修期自工程竣工验收合格之日起计算。</w:t>
      </w:r>
    </w:p>
    <w:p w14:paraId="510249F4">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15.3.3 修复通知</w:t>
      </w:r>
    </w:p>
    <w:p w14:paraId="213F08B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承包人收到保修通知并到达工程现场的合理时间：</w:t>
      </w:r>
      <w:r>
        <w:rPr>
          <w:rFonts w:hint="eastAsia" w:ascii="仿宋" w:hAnsi="仿宋" w:eastAsia="仿宋" w:cs="仿宋"/>
          <w:kern w:val="1"/>
          <w:sz w:val="28"/>
          <w:szCs w:val="28"/>
          <w:highlight w:val="none"/>
          <w:u w:val="single"/>
        </w:rPr>
        <w:t xml:space="preserve"> 一般情况须在48 小时之内，情况紧急必须立即修复缺陷或损坏的须在 24 小时之内。</w:t>
      </w:r>
    </w:p>
    <w:p w14:paraId="77B82C5E">
      <w:pPr>
        <w:spacing w:line="360" w:lineRule="auto"/>
        <w:ind w:firstLine="560" w:firstLineChars="200"/>
        <w:rPr>
          <w:rFonts w:hint="eastAsia" w:ascii="仿宋" w:hAnsi="仿宋" w:eastAsia="仿宋" w:cs="仿宋"/>
          <w:kern w:val="1"/>
          <w:sz w:val="28"/>
          <w:szCs w:val="28"/>
          <w:highlight w:val="none"/>
        </w:rPr>
      </w:pPr>
      <w:bookmarkStart w:id="1118" w:name="_Toc351203648"/>
      <w:bookmarkEnd w:id="1118"/>
      <w:bookmarkStart w:id="1119" w:name="_Toc280868718"/>
      <w:bookmarkEnd w:id="1119"/>
      <w:bookmarkStart w:id="1120" w:name="_Toc280868717"/>
      <w:bookmarkEnd w:id="1120"/>
      <w:r>
        <w:rPr>
          <w:rFonts w:hint="eastAsia" w:ascii="仿宋" w:hAnsi="仿宋" w:eastAsia="仿宋" w:cs="仿宋"/>
          <w:kern w:val="1"/>
          <w:sz w:val="28"/>
          <w:szCs w:val="28"/>
          <w:highlight w:val="none"/>
        </w:rPr>
        <w:t>16. 违约</w:t>
      </w:r>
    </w:p>
    <w:p w14:paraId="78354FC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16.1 发包人违约</w:t>
      </w:r>
    </w:p>
    <w:p w14:paraId="0953289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16.1.1发包人违约的情形</w:t>
      </w:r>
    </w:p>
    <w:p w14:paraId="12B627AC">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发包人违约的其他情形：</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0BF1A00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16.1.2 发包人违约的责任</w:t>
      </w:r>
    </w:p>
    <w:p w14:paraId="0226E9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发包人违约责任的承担方式和计算方法：</w:t>
      </w:r>
    </w:p>
    <w:p w14:paraId="3CE814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 xml:space="preserve">）因发包人原因未能按合同约定支付合同价款的违约责任： </w:t>
      </w:r>
      <w:r>
        <w:rPr>
          <w:rFonts w:hint="eastAsia" w:ascii="仿宋" w:hAnsi="仿宋" w:eastAsia="仿宋" w:cs="仿宋"/>
          <w:sz w:val="28"/>
          <w:szCs w:val="28"/>
          <w:highlight w:val="none"/>
          <w:u w:val="single"/>
        </w:rPr>
        <w:t>发包人不按期支付的，按项目逾期交工违约金：</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 xml:space="preserve">000 元/天向承包人支付付款违约金。时间从应付而未付该款额之日起算起 </w:t>
      </w:r>
      <w:r>
        <w:rPr>
          <w:rFonts w:hint="eastAsia" w:ascii="仿宋" w:hAnsi="仿宋" w:eastAsia="仿宋" w:cs="仿宋"/>
          <w:sz w:val="28"/>
          <w:szCs w:val="28"/>
          <w:highlight w:val="none"/>
        </w:rPr>
        <w:t>。</w:t>
      </w:r>
    </w:p>
    <w:p w14:paraId="0E1E23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）发包人违反第10.1款〔变更的范围〕第（2）项约定，自行实施被取消的工作或转由他人实施的违约责任：</w:t>
      </w:r>
      <w:r>
        <w:rPr>
          <w:rFonts w:hint="eastAsia" w:ascii="仿宋" w:hAnsi="仿宋" w:eastAsia="仿宋" w:cs="仿宋"/>
          <w:sz w:val="28"/>
          <w:szCs w:val="28"/>
          <w:highlight w:val="none"/>
          <w:u w:val="single"/>
        </w:rPr>
        <w:t xml:space="preserve"> 发包人违反合同约定的：每发现一次，向承包人支付 </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000 元违约金</w:t>
      </w:r>
      <w:r>
        <w:rPr>
          <w:rFonts w:hint="eastAsia" w:ascii="仿宋" w:hAnsi="仿宋" w:eastAsia="仿宋" w:cs="仿宋"/>
          <w:sz w:val="28"/>
          <w:szCs w:val="28"/>
          <w:highlight w:val="none"/>
        </w:rPr>
        <w:t>。</w:t>
      </w:r>
    </w:p>
    <w:p w14:paraId="21E89F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）发包人提供的材料、工程设备的规格、数量或质量不符合合同约定，或因发包人原因导致交货日期延误或交货地点变更等情况的违约责任：</w:t>
      </w:r>
      <w:r>
        <w:rPr>
          <w:rFonts w:hint="eastAsia" w:ascii="仿宋" w:hAnsi="仿宋" w:eastAsia="仿宋" w:cs="仿宋"/>
          <w:sz w:val="28"/>
          <w:szCs w:val="28"/>
          <w:highlight w:val="none"/>
          <w:u w:val="single"/>
        </w:rPr>
        <w:t xml:space="preserve"> 发包人违反合同约定采购和使用不合格的材料和工程设备的： 每发现一次，向承包人支付 </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 xml:space="preserve">000 元违约金  </w:t>
      </w:r>
      <w:r>
        <w:rPr>
          <w:rFonts w:hint="eastAsia" w:ascii="仿宋" w:hAnsi="仿宋" w:eastAsia="仿宋" w:cs="仿宋"/>
          <w:sz w:val="28"/>
          <w:szCs w:val="28"/>
          <w:highlight w:val="none"/>
        </w:rPr>
        <w:t>。</w:t>
      </w:r>
    </w:p>
    <w:p w14:paraId="2E79352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16.1.3 因发包人违约解除合同</w:t>
      </w:r>
    </w:p>
    <w:p w14:paraId="4C39BE3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承包人按16.1.1项〔发包人违约的情形〕约定暂停施工满 120天后发包人仍不纠正其违约行为并致使合同目的不能实现的，承包人有权解除合同。或按合同约定的价款调整方式进行合同价款调整。</w:t>
      </w:r>
    </w:p>
    <w:p w14:paraId="2F5FFF07">
      <w:pPr>
        <w:spacing w:line="360" w:lineRule="auto"/>
        <w:ind w:firstLine="560" w:firstLineChars="200"/>
        <w:rPr>
          <w:rFonts w:hint="eastAsia" w:ascii="仿宋" w:hAnsi="仿宋" w:eastAsia="仿宋" w:cs="仿宋"/>
          <w:kern w:val="1"/>
          <w:sz w:val="28"/>
          <w:szCs w:val="28"/>
          <w:highlight w:val="none"/>
        </w:rPr>
      </w:pPr>
      <w:bookmarkStart w:id="1121" w:name="_Toc2374"/>
      <w:r>
        <w:rPr>
          <w:rFonts w:hint="eastAsia" w:ascii="仿宋" w:hAnsi="仿宋" w:eastAsia="仿宋" w:cs="仿宋"/>
          <w:kern w:val="1"/>
          <w:sz w:val="28"/>
          <w:szCs w:val="28"/>
          <w:highlight w:val="none"/>
        </w:rPr>
        <w:t>16.2 承包人违约</w:t>
      </w:r>
      <w:bookmarkEnd w:id="1121"/>
    </w:p>
    <w:p w14:paraId="006CF936">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16.2.1 承包人违约的情形</w:t>
      </w:r>
    </w:p>
    <w:p w14:paraId="096268FD">
      <w:pPr>
        <w:autoSpaceDE w:val="0"/>
        <w:autoSpaceDN w:val="0"/>
        <w:spacing w:line="360" w:lineRule="auto"/>
        <w:ind w:firstLine="560" w:firstLineChars="200"/>
        <w:rPr>
          <w:rFonts w:hint="eastAsia" w:ascii="仿宋" w:hAnsi="仿宋" w:eastAsia="仿宋" w:cs="仿宋"/>
          <w:kern w:val="1"/>
          <w:sz w:val="28"/>
          <w:szCs w:val="28"/>
          <w:highlight w:val="none"/>
        </w:rPr>
      </w:pPr>
      <w:bookmarkStart w:id="1122" w:name="_Toc351203649"/>
      <w:bookmarkEnd w:id="1122"/>
      <w:r>
        <w:rPr>
          <w:rFonts w:hint="eastAsia" w:ascii="仿宋" w:hAnsi="仿宋" w:eastAsia="仿宋" w:cs="仿宋"/>
          <w:kern w:val="1"/>
          <w:sz w:val="28"/>
          <w:szCs w:val="28"/>
          <w:highlight w:val="none"/>
        </w:rPr>
        <w:t>承包人违约的其他情形：</w:t>
      </w:r>
    </w:p>
    <w:p w14:paraId="79460CE2">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（1）承包人工程竣工资料不齐全、不规范，并在规定时间内（竣工合格之日起 90 日内）仍未整改完善按时提交移交城建档案馆和建设方档案室的，</w:t>
      </w:r>
      <w:r>
        <w:rPr>
          <w:rFonts w:hint="eastAsia" w:ascii="仿宋" w:hAnsi="仿宋" w:eastAsia="仿宋" w:cs="仿宋"/>
          <w:b/>
          <w:sz w:val="28"/>
          <w:szCs w:val="28"/>
          <w:highlight w:val="none"/>
          <w:u w:val="single"/>
        </w:rPr>
        <w:t>向发包人承担违约金人民币</w:t>
      </w:r>
      <w:r>
        <w:rPr>
          <w:rFonts w:hint="eastAsia" w:ascii="仿宋" w:hAnsi="仿宋" w:eastAsia="仿宋" w:cs="仿宋"/>
          <w:b/>
          <w:sz w:val="28"/>
          <w:szCs w:val="28"/>
          <w:highlight w:val="none"/>
          <w:u w:val="single"/>
          <w:lang w:val="en-US" w:eastAsia="zh-CN"/>
        </w:rPr>
        <w:t xml:space="preserve">1000 </w:t>
      </w:r>
      <w:r>
        <w:rPr>
          <w:rFonts w:hint="eastAsia" w:ascii="仿宋" w:hAnsi="仿宋" w:eastAsia="仿宋" w:cs="仿宋"/>
          <w:b/>
          <w:sz w:val="28"/>
          <w:szCs w:val="28"/>
          <w:highlight w:val="none"/>
          <w:u w:val="single"/>
        </w:rPr>
        <w:t>元扣罚承包人违约金</w:t>
      </w:r>
      <w:r>
        <w:rPr>
          <w:rFonts w:hint="eastAsia" w:ascii="仿宋" w:hAnsi="仿宋" w:eastAsia="仿宋" w:cs="仿宋"/>
          <w:b/>
          <w:bCs/>
          <w:kern w:val="1"/>
          <w:sz w:val="28"/>
          <w:szCs w:val="28"/>
          <w:highlight w:val="none"/>
          <w:u w:val="single"/>
        </w:rPr>
        <w:t>，并将承担因此而造成的一切后果。</w:t>
      </w:r>
    </w:p>
    <w:p w14:paraId="67A35E77">
      <w:pPr>
        <w:autoSpaceDE w:val="0"/>
        <w:autoSpaceDN w:val="0"/>
        <w:spacing w:line="360" w:lineRule="auto"/>
        <w:ind w:left="422"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 xml:space="preserve">（2）承包人必须在工程竣工验收前，向建管处提供备案资料一套，否则承包人应向发包人承担 </w:t>
      </w:r>
      <w:r>
        <w:rPr>
          <w:rFonts w:hint="eastAsia" w:ascii="仿宋" w:hAnsi="仿宋" w:eastAsia="仿宋" w:cs="仿宋"/>
          <w:b/>
          <w:bCs/>
          <w:kern w:val="1"/>
          <w:sz w:val="28"/>
          <w:szCs w:val="28"/>
          <w:highlight w:val="none"/>
          <w:u w:val="single"/>
          <w:lang w:val="en-US" w:eastAsia="zh-CN"/>
        </w:rPr>
        <w:t xml:space="preserve">1000 </w:t>
      </w:r>
      <w:r>
        <w:rPr>
          <w:rFonts w:hint="eastAsia" w:ascii="仿宋" w:hAnsi="仿宋" w:eastAsia="仿宋" w:cs="仿宋"/>
          <w:b/>
          <w:bCs/>
          <w:kern w:val="1"/>
          <w:sz w:val="28"/>
          <w:szCs w:val="28"/>
          <w:highlight w:val="none"/>
          <w:u w:val="single"/>
        </w:rPr>
        <w:t>元的违约金；</w:t>
      </w:r>
    </w:p>
    <w:p w14:paraId="3A2661E2">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3）承包人出现下列情况之一的，发包人有权单方面解除施工合同，或切割其承包的工程内容，解除合同或切割工程造成的损失由承包人承担，解除合同或切割的工程由发包人委托其他单位施工，承包人必须无条件配合，同时发包人不承担任何违约责任：</w:t>
      </w:r>
    </w:p>
    <w:p w14:paraId="2BAED9A8">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1)承包人不得挂靠，不得转包或非法分包工程。不论何时发现，承包人愿意按照工程总造价的</w:t>
      </w:r>
      <w:r>
        <w:rPr>
          <w:rFonts w:hint="eastAsia" w:ascii="仿宋" w:hAnsi="仿宋" w:eastAsia="仿宋" w:cs="仿宋"/>
          <w:b/>
          <w:bCs/>
          <w:kern w:val="1"/>
          <w:sz w:val="28"/>
          <w:szCs w:val="28"/>
          <w:highlight w:val="none"/>
          <w:u w:val="single"/>
          <w:lang w:val="en-US" w:eastAsia="zh-CN"/>
        </w:rPr>
        <w:t xml:space="preserve"> 10 </w:t>
      </w:r>
      <w:r>
        <w:rPr>
          <w:rFonts w:hint="eastAsia" w:ascii="仿宋" w:hAnsi="仿宋" w:eastAsia="仿宋" w:cs="仿宋"/>
          <w:b/>
          <w:bCs/>
          <w:kern w:val="1"/>
          <w:sz w:val="28"/>
          <w:szCs w:val="28"/>
          <w:highlight w:val="none"/>
          <w:u w:val="single"/>
        </w:rPr>
        <w:t>%向发包人承担违约金，发包人有权解除已签订的建设工程施工合同，</w:t>
      </w:r>
      <w:r>
        <w:rPr>
          <w:rFonts w:hint="eastAsia" w:ascii="仿宋" w:hAnsi="仿宋" w:eastAsia="仿宋" w:cs="仿宋"/>
          <w:b/>
          <w:sz w:val="28"/>
          <w:szCs w:val="28"/>
          <w:highlight w:val="none"/>
        </w:rPr>
        <w:t>解除合同后剩余工程增加的工程造价由承包人负责赔偿（剩余工程增加造价=剩余工程合同价款减去剩余工程审计价款的差额），</w:t>
      </w:r>
      <w:r>
        <w:rPr>
          <w:rFonts w:hint="eastAsia" w:ascii="仿宋" w:hAnsi="仿宋" w:eastAsia="仿宋" w:cs="仿宋"/>
          <w:b/>
          <w:bCs/>
          <w:kern w:val="1"/>
          <w:sz w:val="28"/>
          <w:szCs w:val="28"/>
          <w:highlight w:val="none"/>
          <w:u w:val="single"/>
        </w:rPr>
        <w:t>由此造成的一切损失承包人自负，同时履约保证金不再返还，未付工程款不再支付。</w:t>
      </w:r>
    </w:p>
    <w:p w14:paraId="7A64B679">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2)未经批准擅自更换项目经理或技术负责人；</w:t>
      </w:r>
    </w:p>
    <w:p w14:paraId="063325BF">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3)项目经理或技术负责人连续二个月未按合同要求时间有效到岗的；</w:t>
      </w:r>
    </w:p>
    <w:p w14:paraId="4F31AA20">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4)项目管理人员不到位、现场管理不力，造成工地施工管理混乱，文明施工达不到建设工程施工合同及规范要求，且不按要求整改的；</w:t>
      </w:r>
    </w:p>
    <w:p w14:paraId="52FC5346">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5)工程具备开工条件后，因承包人原因造成开工时间超过发包人要求开工时间一周以上的或监理下达开工令后，承包人拒不开工的，发包人有权对承包人进行处罚，并可以单方解除施工合同。</w:t>
      </w:r>
    </w:p>
    <w:p w14:paraId="0D4D163F">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6)因承包人原因造成工期连续三个月完不成施工计划的；</w:t>
      </w:r>
    </w:p>
    <w:p w14:paraId="12FD5984">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7)一个单位工程连续出现三次影响使用功能和结构安全，分部（项）工程自检合格但检查评定不合格的；</w:t>
      </w:r>
    </w:p>
    <w:p w14:paraId="72D2BA86">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8)工程施工中存在重大安全、质量隐患且不按要求及时整改到位的；</w:t>
      </w:r>
    </w:p>
    <w:p w14:paraId="263C86DF">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9）在本合同履行中，如发包人依合同约定行使合同的单方解除权，则其后果为：未付工程款不再支付；履约保证金不予返还；承包人应在接发包人解除通知后 7 日内撤出施工场地，并妥善处理好交接事宜，承包人承担因此给发包人造成的损失。</w:t>
      </w:r>
    </w:p>
    <w:p w14:paraId="5AC696E8">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10）供应商在合同签订后5日内需自行办理施工线路的停电手续，项目完工后向淮南市供电部门办理送电及移交手续，并确保项目验收通过，如因供应商原因导致停送电不及时，验收不通过或不能顺利移交的，采购人有权解除合同并要求供应商承担由此造成的一切损失;若供应商中标后无法履行合同约定，采购人有权提请淮南市建设及行政主管部门对其信用惩戒。</w:t>
      </w:r>
    </w:p>
    <w:p w14:paraId="4057C893">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4）承包人的响应文件中如有与磋商文件、图纸、答疑（更正）有冲突、重新划分的双方权利义务关系的情形的，对发包人有利的，按照其响应文件执行，不利于发包人的，按照磋商文件、图纸、答疑（更正）执行。</w:t>
      </w:r>
    </w:p>
    <w:p w14:paraId="4AC524C7">
      <w:pPr>
        <w:autoSpaceDE w:val="0"/>
        <w:autoSpaceDN w:val="0"/>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 xml:space="preserve">（5）承包人未通知发包人私自将工程隐蔽部位覆盖的，每发现一次，向发包人支付 </w:t>
      </w:r>
      <w:r>
        <w:rPr>
          <w:rFonts w:hint="eastAsia" w:ascii="仿宋" w:hAnsi="仿宋" w:eastAsia="仿宋" w:cs="仿宋"/>
          <w:b/>
          <w:bCs/>
          <w:kern w:val="1"/>
          <w:sz w:val="28"/>
          <w:szCs w:val="28"/>
          <w:highlight w:val="none"/>
          <w:u w:val="single"/>
          <w:lang w:val="en-US" w:eastAsia="zh-CN"/>
        </w:rPr>
        <w:t xml:space="preserve">1000 </w:t>
      </w:r>
      <w:r>
        <w:rPr>
          <w:rFonts w:hint="eastAsia" w:ascii="仿宋" w:hAnsi="仿宋" w:eastAsia="仿宋" w:cs="仿宋"/>
          <w:b/>
          <w:bCs/>
          <w:kern w:val="1"/>
          <w:sz w:val="28"/>
          <w:szCs w:val="28"/>
          <w:highlight w:val="none"/>
          <w:u w:val="single"/>
        </w:rPr>
        <w:t>元违约金。</w:t>
      </w:r>
    </w:p>
    <w:p w14:paraId="07769D35">
      <w:pPr>
        <w:autoSpaceDE w:val="0"/>
        <w:autoSpaceDN w:val="0"/>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kern w:val="1"/>
          <w:sz w:val="28"/>
          <w:szCs w:val="28"/>
          <w:highlight w:val="none"/>
          <w:u w:val="single"/>
        </w:rPr>
        <w:t>（6）整个项目各方主体的项目资料需要满足《淮南市城市建设档案管理条例》《建设工程文件归档规范》（GB/T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供应商的投标总价内，如产生专业服务费用由承包人承担并支付。按照相关规定做好工程文件编整、电子档案制作（包括但不限于对工程档案进行排序、组卷、整理、编目、信息著录、扫描、修图、转换、系统上传等工作内容），并将符合规范要求的工程档案移交档案管理机构。以上相关其费用综合考虑在报价中，如产生专业服务费用由承包人承担并支付。全过程按照国家有关要求做好档案的安全及保密工作。竣工验收合格后 3 个月内完成档案移交（包含建设单位档案移交时间），逾期未完成移交按照</w:t>
      </w:r>
      <w:r>
        <w:rPr>
          <w:rFonts w:hint="eastAsia" w:ascii="仿宋" w:hAnsi="仿宋" w:eastAsia="仿宋" w:cs="仿宋"/>
          <w:b/>
          <w:bCs/>
          <w:kern w:val="1"/>
          <w:sz w:val="28"/>
          <w:szCs w:val="28"/>
          <w:highlight w:val="none"/>
          <w:u w:val="single"/>
          <w:lang w:val="en-US" w:eastAsia="zh-CN"/>
        </w:rPr>
        <w:t xml:space="preserve"> 1000</w:t>
      </w:r>
      <w:r>
        <w:rPr>
          <w:rFonts w:hint="eastAsia" w:ascii="仿宋" w:hAnsi="仿宋" w:eastAsia="仿宋" w:cs="仿宋"/>
          <w:b/>
          <w:bCs/>
          <w:kern w:val="1"/>
          <w:sz w:val="28"/>
          <w:szCs w:val="28"/>
          <w:highlight w:val="none"/>
          <w:u w:val="single"/>
        </w:rPr>
        <w:t xml:space="preserve"> 元/天的金额扣罚承包人违约金。</w:t>
      </w:r>
    </w:p>
    <w:p w14:paraId="360A2B4F">
      <w:pPr>
        <w:spacing w:line="360" w:lineRule="auto"/>
        <w:ind w:firstLine="560" w:firstLineChars="200"/>
        <w:rPr>
          <w:rFonts w:hint="eastAsia" w:ascii="仿宋" w:hAnsi="仿宋" w:eastAsia="仿宋" w:cs="仿宋"/>
          <w:kern w:val="1"/>
          <w:sz w:val="28"/>
          <w:szCs w:val="28"/>
          <w:highlight w:val="none"/>
        </w:rPr>
      </w:pPr>
      <w:bookmarkStart w:id="1123" w:name="_Toc22207"/>
      <w:r>
        <w:rPr>
          <w:rFonts w:hint="eastAsia" w:ascii="仿宋" w:hAnsi="仿宋" w:eastAsia="仿宋" w:cs="仿宋"/>
          <w:kern w:val="1"/>
          <w:sz w:val="28"/>
          <w:szCs w:val="28"/>
          <w:highlight w:val="none"/>
        </w:rPr>
        <w:t>16.2.2承包人违约的责任</w:t>
      </w:r>
      <w:bookmarkEnd w:id="1123"/>
    </w:p>
    <w:p w14:paraId="04BC971B">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 xml:space="preserve">承包人违约责任的承担方式和计算方法：    </w:t>
      </w:r>
    </w:p>
    <w:p w14:paraId="4193E1F1">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①承包人违反工程施工质量管理相关要求、安全文明施工管理规定的，按照合同附件表格中的违约金处罚标准进行处罚。承包人违反合同约定采购和使用不合格的材料和工程设备的： 每发现一次，向发包人支付</w:t>
      </w:r>
      <w:r>
        <w:rPr>
          <w:rFonts w:hint="eastAsia" w:ascii="仿宋" w:hAnsi="仿宋" w:eastAsia="仿宋" w:cs="仿宋"/>
          <w:b/>
          <w:bCs/>
          <w:kern w:val="1"/>
          <w:sz w:val="28"/>
          <w:szCs w:val="28"/>
          <w:highlight w:val="none"/>
          <w:u w:val="single"/>
          <w:lang w:val="en-US" w:eastAsia="zh-CN"/>
        </w:rPr>
        <w:t>2000</w:t>
      </w:r>
      <w:r>
        <w:rPr>
          <w:rFonts w:hint="eastAsia" w:ascii="仿宋" w:hAnsi="仿宋" w:eastAsia="仿宋" w:cs="仿宋"/>
          <w:b/>
          <w:bCs/>
          <w:kern w:val="1"/>
          <w:sz w:val="28"/>
          <w:szCs w:val="28"/>
          <w:highlight w:val="none"/>
          <w:u w:val="single"/>
        </w:rPr>
        <w:t>元违约金 ；因承包人原因导致工程质量不符合合同要求的： 除限期整改外，还应按照合同附件规定的处罚标准向发包人支付违约金（或由发包人直接从工程款中扣除） ；承包人违反第8.9款〔材料与设备专用要求〕的约定，未经批准，私自将已按照合同约定进入施工现场的材料或设备撤离施工现场的：每发现一次，向发包人支付</w:t>
      </w:r>
      <w:r>
        <w:rPr>
          <w:rFonts w:hint="eastAsia" w:ascii="仿宋" w:hAnsi="仿宋" w:eastAsia="仿宋" w:cs="仿宋"/>
          <w:b/>
          <w:bCs/>
          <w:kern w:val="1"/>
          <w:sz w:val="28"/>
          <w:szCs w:val="28"/>
          <w:highlight w:val="none"/>
          <w:u w:val="single"/>
          <w:lang w:val="en-US" w:eastAsia="zh-CN"/>
        </w:rPr>
        <w:t xml:space="preserve"> 2000 </w:t>
      </w:r>
      <w:r>
        <w:rPr>
          <w:rFonts w:hint="eastAsia" w:ascii="仿宋" w:hAnsi="仿宋" w:eastAsia="仿宋" w:cs="仿宋"/>
          <w:b/>
          <w:bCs/>
          <w:kern w:val="1"/>
          <w:sz w:val="28"/>
          <w:szCs w:val="28"/>
          <w:highlight w:val="none"/>
          <w:u w:val="single"/>
        </w:rPr>
        <w:t>元违约金 ；承包人未能按施工进度计划及时完成合同约定的工作，造成工期延误的：每逾期一天，向发包人支付</w:t>
      </w:r>
      <w:r>
        <w:rPr>
          <w:rFonts w:hint="eastAsia" w:ascii="仿宋" w:hAnsi="仿宋" w:eastAsia="仿宋" w:cs="仿宋"/>
          <w:b/>
          <w:bCs/>
          <w:kern w:val="1"/>
          <w:sz w:val="28"/>
          <w:szCs w:val="28"/>
          <w:highlight w:val="none"/>
          <w:u w:val="single"/>
          <w:lang w:val="en-US" w:eastAsia="zh-CN"/>
        </w:rPr>
        <w:t xml:space="preserve"> 2000 </w:t>
      </w:r>
      <w:r>
        <w:rPr>
          <w:rFonts w:hint="eastAsia" w:ascii="仿宋" w:hAnsi="仿宋" w:eastAsia="仿宋" w:cs="仿宋"/>
          <w:b/>
          <w:bCs/>
          <w:kern w:val="1"/>
          <w:sz w:val="28"/>
          <w:szCs w:val="28"/>
          <w:highlight w:val="none"/>
          <w:u w:val="single"/>
        </w:rPr>
        <w:t>元违约金 ；如总工期没有逾期的，此前扣除的进度违约金可以返还。</w:t>
      </w:r>
    </w:p>
    <w:p w14:paraId="0866C0BF">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②承包人如违反安全文明施工，以监理工程师通知或建设行政主管部门通知为准，承包人拒不执行整改，每次处</w:t>
      </w:r>
      <w:r>
        <w:rPr>
          <w:rFonts w:hint="eastAsia" w:ascii="仿宋" w:hAnsi="仿宋" w:eastAsia="仿宋" w:cs="仿宋"/>
          <w:b/>
          <w:bCs/>
          <w:kern w:val="1"/>
          <w:sz w:val="28"/>
          <w:szCs w:val="28"/>
          <w:highlight w:val="none"/>
          <w:u w:val="single"/>
          <w:lang w:val="en-US" w:eastAsia="zh-CN"/>
        </w:rPr>
        <w:t xml:space="preserve">1000 </w:t>
      </w:r>
      <w:r>
        <w:rPr>
          <w:rFonts w:hint="eastAsia" w:ascii="仿宋" w:hAnsi="仿宋" w:eastAsia="仿宋" w:cs="仿宋"/>
          <w:b/>
          <w:bCs/>
          <w:kern w:val="1"/>
          <w:sz w:val="28"/>
          <w:szCs w:val="28"/>
          <w:highlight w:val="none"/>
          <w:u w:val="single"/>
        </w:rPr>
        <w:t>元，如发生安全事故应及时向有关部门报告，并承担相应的一切责任，并进行处罚：a、较大安全事故：指一（1）次事故造成重伤（是指有下列情形之一的伤害：使人肢体残废或者毁人容貌的；使人丧失听觉、视觉或者其他器官机能的；其他对人身健康有重大伤害的）一（1）至二（2）人，或施工现场发生火灾，对发包人产生负面影响，承包人应支付违约金</w:t>
      </w:r>
      <w:r>
        <w:rPr>
          <w:rFonts w:hint="eastAsia" w:ascii="仿宋" w:hAnsi="仿宋" w:eastAsia="仿宋" w:cs="仿宋"/>
          <w:b/>
          <w:bCs/>
          <w:kern w:val="1"/>
          <w:sz w:val="28"/>
          <w:szCs w:val="28"/>
          <w:highlight w:val="none"/>
          <w:u w:val="single"/>
          <w:lang w:val="en-US" w:eastAsia="zh-CN"/>
        </w:rPr>
        <w:t xml:space="preserve"> 10000 </w:t>
      </w:r>
      <w:r>
        <w:rPr>
          <w:rFonts w:hint="eastAsia" w:ascii="仿宋" w:hAnsi="仿宋" w:eastAsia="仿宋" w:cs="仿宋"/>
          <w:b/>
          <w:bCs/>
          <w:kern w:val="1"/>
          <w:sz w:val="28"/>
          <w:szCs w:val="28"/>
          <w:highlight w:val="none"/>
          <w:u w:val="single"/>
        </w:rPr>
        <w:t>元；b、重大安全事故：指在项目施工过程中由于责任过失造成人身死亡或重伤三人及以上，或经济损失超过3万元的安全事故，承包人应支付违约金</w:t>
      </w:r>
      <w:r>
        <w:rPr>
          <w:rFonts w:hint="eastAsia" w:ascii="仿宋" w:hAnsi="仿宋" w:eastAsia="仿宋" w:cs="仿宋"/>
          <w:b/>
          <w:bCs/>
          <w:kern w:val="1"/>
          <w:sz w:val="28"/>
          <w:szCs w:val="28"/>
          <w:highlight w:val="none"/>
          <w:u w:val="single"/>
          <w:lang w:val="en-US" w:eastAsia="zh-CN"/>
        </w:rPr>
        <w:t xml:space="preserve"> 50000 </w:t>
      </w:r>
      <w:r>
        <w:rPr>
          <w:rFonts w:hint="eastAsia" w:ascii="仿宋" w:hAnsi="仿宋" w:eastAsia="仿宋" w:cs="仿宋"/>
          <w:b/>
          <w:bCs/>
          <w:kern w:val="1"/>
          <w:sz w:val="28"/>
          <w:szCs w:val="28"/>
          <w:highlight w:val="none"/>
          <w:u w:val="single"/>
        </w:rPr>
        <w:t>元。发生人身伤亡、财产损失承包人未予以及时处理好，而引起发包人垫付赔偿费用的，发包人从工程进度款或者工程结算价款中扣除相应的款项。</w:t>
      </w:r>
    </w:p>
    <w:p w14:paraId="405A72F5">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 xml:space="preserve">③承包人的总承包范围的各分部分项工程，按设计图纸、设计变更、规范规程、验收标准、以及地方的有关规定、发包人要求进行施工和验收。如未达到此标准，承包人应采取措施在规定工期内进行整改。如规定时间内整改仍达不到要求，承包人将向发包人承担工程总造价 </w:t>
      </w:r>
      <w:r>
        <w:rPr>
          <w:rFonts w:hint="eastAsia" w:ascii="仿宋" w:hAnsi="仿宋" w:eastAsia="仿宋" w:cs="仿宋"/>
          <w:b/>
          <w:bCs/>
          <w:kern w:val="1"/>
          <w:sz w:val="28"/>
          <w:szCs w:val="28"/>
          <w:highlight w:val="none"/>
          <w:u w:val="single"/>
          <w:lang w:val="en-US" w:eastAsia="zh-CN"/>
        </w:rPr>
        <w:t xml:space="preserve">2 </w:t>
      </w:r>
      <w:r>
        <w:rPr>
          <w:rFonts w:hint="eastAsia" w:ascii="仿宋" w:hAnsi="仿宋" w:eastAsia="仿宋" w:cs="仿宋"/>
          <w:b/>
          <w:bCs/>
          <w:kern w:val="1"/>
          <w:sz w:val="28"/>
          <w:szCs w:val="28"/>
          <w:highlight w:val="none"/>
          <w:u w:val="single"/>
        </w:rPr>
        <w:t>% 的违约金；发包人有权委托第三方完成上述工作内容，发生的所有费用由承包人双倍承担，发包人在支付承包人的工程款项中进行扣除。</w:t>
      </w:r>
    </w:p>
    <w:p w14:paraId="7B627771">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④承包人投入本工程的施工队伍的素质、能力、力量和机械等必须符合投标书的承诺和满足工程的实际需要。如由于承包人原因造成现场管理混乱，施工质量和进度明显达不到合同要求且无视发包人或监理工程师事先的书面整改通知书，拒不服从监理工程师监管，发包人有权要求其加强管理，调整充实施工力量，承包人必须接受。当上述措施仍无效时，发包人可单方面终止合同，并追究承包人本合同签约合同价</w:t>
      </w:r>
      <w:r>
        <w:rPr>
          <w:rFonts w:hint="eastAsia" w:ascii="仿宋" w:hAnsi="仿宋" w:eastAsia="仿宋" w:cs="仿宋"/>
          <w:b/>
          <w:bCs/>
          <w:kern w:val="1"/>
          <w:sz w:val="28"/>
          <w:szCs w:val="28"/>
          <w:highlight w:val="none"/>
          <w:u w:val="single"/>
          <w:lang w:val="en-US" w:eastAsia="zh-CN"/>
        </w:rPr>
        <w:t xml:space="preserve">   10%</w:t>
      </w:r>
      <w:r>
        <w:rPr>
          <w:rFonts w:hint="eastAsia" w:ascii="仿宋" w:hAnsi="仿宋" w:eastAsia="仿宋" w:cs="仿宋"/>
          <w:b/>
          <w:bCs/>
          <w:kern w:val="1"/>
          <w:sz w:val="28"/>
          <w:szCs w:val="28"/>
          <w:highlight w:val="none"/>
          <w:u w:val="single"/>
        </w:rPr>
        <w:t>的违约责任。</w:t>
      </w:r>
    </w:p>
    <w:p w14:paraId="6C1240DF">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⑤承包人应对施工人员加强教育和管理，配合当地有关部门做好社会治安工作。本工程发包人当期支付给承包人的工程款中应该视为已经包含了当期已完工程的全部人工工资。承包人应按国家和工程所在地有关劳动工资支付的规定及时支付其所属员工（包括雇佣的民工）的工资及其他酬金，不得以工程款拖欠、结算纠纷、垫资施工等理由随意克扣或者无故拖欠。否则因拖欠工资（或其他酬金）而影响发包人单位或工程的正常秩序或搅乱当地社会稳定的，发包人有权停止支付工程款，每次事件（经主管部门认定的事件）发生，可要求承包人赔偿由此给发包人造成的其他损失。</w:t>
      </w:r>
    </w:p>
    <w:p w14:paraId="5F545D23">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⑥承包人应确保发包人支付的工程进度款专款专用，优先支付农民工工资，如发现承包人将工程款挪作他用，发包人有权延期支付当期进度款的不少于百分之二十，同时，承包人向发包人支付违约金不少于</w:t>
      </w:r>
      <w:r>
        <w:rPr>
          <w:rFonts w:hint="eastAsia" w:ascii="仿宋" w:hAnsi="仿宋" w:eastAsia="仿宋" w:cs="仿宋"/>
          <w:b/>
          <w:bCs/>
          <w:kern w:val="1"/>
          <w:sz w:val="28"/>
          <w:szCs w:val="28"/>
          <w:highlight w:val="none"/>
          <w:u w:val="single"/>
          <w:lang w:val="en-US" w:eastAsia="zh-CN"/>
        </w:rPr>
        <w:t xml:space="preserve">5000  </w:t>
      </w:r>
      <w:r>
        <w:rPr>
          <w:rFonts w:hint="eastAsia" w:ascii="仿宋" w:hAnsi="仿宋" w:eastAsia="仿宋" w:cs="仿宋"/>
          <w:b/>
          <w:bCs/>
          <w:kern w:val="1"/>
          <w:sz w:val="28"/>
          <w:szCs w:val="28"/>
          <w:highlight w:val="none"/>
          <w:u w:val="single"/>
        </w:rPr>
        <w:t>元/次。</w:t>
      </w:r>
    </w:p>
    <w:p w14:paraId="1A7C7771">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⑦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或项目销售的影响。同时，承包人须向发包人支付违约金</w:t>
      </w:r>
      <w:r>
        <w:rPr>
          <w:rFonts w:hint="eastAsia" w:ascii="仿宋" w:hAnsi="仿宋" w:eastAsia="仿宋" w:cs="仿宋"/>
          <w:b/>
          <w:bCs/>
          <w:kern w:val="1"/>
          <w:sz w:val="28"/>
          <w:szCs w:val="28"/>
          <w:highlight w:val="none"/>
          <w:u w:val="single"/>
          <w:lang w:val="en-US" w:eastAsia="zh-CN"/>
        </w:rPr>
        <w:t xml:space="preserve"> 50000 </w:t>
      </w:r>
      <w:r>
        <w:rPr>
          <w:rFonts w:hint="eastAsia" w:ascii="仿宋" w:hAnsi="仿宋" w:eastAsia="仿宋" w:cs="仿宋"/>
          <w:b/>
          <w:bCs/>
          <w:kern w:val="1"/>
          <w:sz w:val="28"/>
          <w:szCs w:val="28"/>
          <w:highlight w:val="none"/>
          <w:u w:val="single"/>
        </w:rPr>
        <w:t>元/次，且发包人有权直接代为支付民工工资，并增加百分之十五管理费，从工程进度款中直接扣除；该违约金不能免除承包人应承担的其他责任。发生三次以上时发包人有权单方面解除合同。</w:t>
      </w:r>
    </w:p>
    <w:p w14:paraId="684E9D88">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⑧本合同约定的其他违约情形。</w:t>
      </w:r>
    </w:p>
    <w:p w14:paraId="444A0374">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承包人的违约金均可从工程进度款、结算款或质量保证金中扣除。针对承包人支付给发包人的赔偿款，发包人仅会就赔偿款向承包人开具相应收据作为凭证，不会就此开具专用发票。</w:t>
      </w:r>
    </w:p>
    <w:p w14:paraId="180A7B55">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承包人明确表示或者以其行为表明不履行合同主要义务的：发包人有权解除合同 ；</w:t>
      </w:r>
    </w:p>
    <w:p w14:paraId="160030AF">
      <w:pPr>
        <w:spacing w:line="360" w:lineRule="auto"/>
        <w:ind w:firstLine="562" w:firstLineChars="200"/>
        <w:rPr>
          <w:rFonts w:hint="eastAsia" w:ascii="仿宋" w:hAnsi="仿宋" w:eastAsia="仿宋" w:cs="仿宋"/>
          <w:kern w:val="1"/>
          <w:sz w:val="28"/>
          <w:szCs w:val="28"/>
          <w:highlight w:val="none"/>
        </w:rPr>
      </w:pPr>
      <w:r>
        <w:rPr>
          <w:rFonts w:hint="eastAsia" w:ascii="仿宋" w:hAnsi="仿宋" w:eastAsia="仿宋" w:cs="仿宋"/>
          <w:b/>
          <w:bCs/>
          <w:kern w:val="1"/>
          <w:sz w:val="28"/>
          <w:szCs w:val="28"/>
          <w:highlight w:val="none"/>
          <w:u w:val="single"/>
        </w:rPr>
        <w:t>承包人未能按照合同约定履行其他义务的：每发生一次，向发包人支付</w:t>
      </w:r>
      <w:r>
        <w:rPr>
          <w:rFonts w:hint="eastAsia" w:ascii="仿宋" w:hAnsi="仿宋" w:eastAsia="仿宋" w:cs="仿宋"/>
          <w:b/>
          <w:bCs/>
          <w:kern w:val="1"/>
          <w:sz w:val="28"/>
          <w:szCs w:val="28"/>
          <w:highlight w:val="none"/>
          <w:u w:val="single"/>
          <w:lang w:val="en-US" w:eastAsia="zh-CN"/>
        </w:rPr>
        <w:t xml:space="preserve"> 2000 </w:t>
      </w:r>
      <w:r>
        <w:rPr>
          <w:rFonts w:hint="eastAsia" w:ascii="仿宋" w:hAnsi="仿宋" w:eastAsia="仿宋" w:cs="仿宋"/>
          <w:b/>
          <w:bCs/>
          <w:kern w:val="1"/>
          <w:sz w:val="28"/>
          <w:szCs w:val="28"/>
          <w:highlight w:val="none"/>
          <w:u w:val="single"/>
        </w:rPr>
        <w:t>元违约金 。</w:t>
      </w:r>
    </w:p>
    <w:p w14:paraId="1E5ABEAF">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16.2.3 因承包人违约解除合同</w:t>
      </w:r>
    </w:p>
    <w:p w14:paraId="5D3B3AA6">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kern w:val="1"/>
          <w:sz w:val="28"/>
          <w:szCs w:val="28"/>
          <w:highlight w:val="none"/>
        </w:rPr>
        <w:t>关于承包人违约解除合同的特别约定：</w:t>
      </w:r>
      <w:r>
        <w:rPr>
          <w:rFonts w:hint="eastAsia" w:ascii="仿宋" w:hAnsi="仿宋" w:eastAsia="仿宋" w:cs="仿宋"/>
          <w:kern w:val="1"/>
          <w:sz w:val="28"/>
          <w:szCs w:val="28"/>
          <w:highlight w:val="none"/>
          <w:u w:val="single"/>
        </w:rPr>
        <w:t xml:space="preserve"> </w:t>
      </w:r>
      <w:r>
        <w:rPr>
          <w:rFonts w:hint="eastAsia" w:ascii="仿宋" w:hAnsi="仿宋" w:eastAsia="仿宋" w:cs="仿宋"/>
          <w:b/>
          <w:bCs/>
          <w:kern w:val="1"/>
          <w:sz w:val="28"/>
          <w:szCs w:val="28"/>
          <w:highlight w:val="none"/>
          <w:u w:val="single"/>
        </w:rPr>
        <w:t xml:space="preserve"> 承包人出现下列情况之一的，发包人有权单方面解除施工合同，或切割其承包的工程内容，解除合同或切割工程造成的损失由承包人承担：</w:t>
      </w:r>
    </w:p>
    <w:p w14:paraId="311D4999">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(1)工程具备开工条件后，因承包人原因造成开工时间超过发包人要求开工时间一周以上的；</w:t>
      </w:r>
    </w:p>
    <w:p w14:paraId="49E263D1">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(2)项目管理人员不到位、现场管理不力，造成工地施工管理混乱，文明施工达不到建设工程施工合同及规范要求，且不按要求整改的；</w:t>
      </w:r>
    </w:p>
    <w:p w14:paraId="3D12CA52">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(3)工期严重滞后，无法按期完成合同工期的；</w:t>
      </w:r>
    </w:p>
    <w:p w14:paraId="3E3DFF4A">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 xml:space="preserve">(4)工程施工中存在重大安全、质量隐患且不按要求及时整改到位的。 </w:t>
      </w:r>
    </w:p>
    <w:p w14:paraId="5B46C203">
      <w:pPr>
        <w:spacing w:line="360" w:lineRule="auto"/>
        <w:ind w:firstLine="562" w:firstLineChars="200"/>
        <w:rPr>
          <w:rFonts w:hint="eastAsia" w:ascii="仿宋" w:hAnsi="仿宋" w:eastAsia="仿宋" w:cs="仿宋"/>
          <w:b/>
          <w:bCs/>
          <w:kern w:val="1"/>
          <w:sz w:val="28"/>
          <w:szCs w:val="28"/>
          <w:highlight w:val="none"/>
          <w:u w:val="single"/>
        </w:rPr>
      </w:pPr>
      <w:r>
        <w:rPr>
          <w:rFonts w:hint="eastAsia" w:ascii="仿宋" w:hAnsi="仿宋" w:eastAsia="仿宋" w:cs="仿宋"/>
          <w:b/>
          <w:bCs/>
          <w:kern w:val="1"/>
          <w:sz w:val="28"/>
          <w:szCs w:val="28"/>
          <w:highlight w:val="none"/>
          <w:u w:val="single"/>
        </w:rPr>
        <w:t>（5）供应商在合同签订后5日内需自行办理施工线路的停电手续，项目完工后向淮南市供电部门办理送电及移交手续，并确保项目验收通过，如因供应商原因导致停送电不及时，验收不通过或不能顺利移交的。</w:t>
      </w:r>
    </w:p>
    <w:p w14:paraId="48646A9D">
      <w:pPr>
        <w:spacing w:line="360" w:lineRule="auto"/>
        <w:ind w:firstLine="560" w:firstLineChars="200"/>
        <w:rPr>
          <w:rFonts w:hint="eastAsia" w:ascii="仿宋" w:hAnsi="仿宋" w:eastAsia="仿宋" w:cs="仿宋"/>
          <w:b/>
          <w:bCs/>
          <w:kern w:val="1"/>
          <w:sz w:val="28"/>
          <w:szCs w:val="28"/>
          <w:highlight w:val="none"/>
          <w:u w:val="single"/>
        </w:rPr>
      </w:pPr>
      <w:r>
        <w:rPr>
          <w:rFonts w:hint="eastAsia" w:ascii="仿宋" w:hAnsi="仿宋" w:eastAsia="仿宋" w:cs="仿宋"/>
          <w:color w:val="000000"/>
          <w:kern w:val="0"/>
          <w:sz w:val="28"/>
          <w:szCs w:val="28"/>
          <w:highlight w:val="none"/>
        </w:rPr>
        <w:t>发包人继续使用承包人在施工现场的材料、设备、临时工程、承包人文件和由承包人或以其名义编制的其他文件的费用承担方式:</w:t>
      </w:r>
      <w:r>
        <w:rPr>
          <w:rFonts w:hint="eastAsia" w:ascii="仿宋" w:hAnsi="仿宋" w:eastAsia="仿宋" w:cs="仿宋"/>
          <w:b/>
          <w:bCs/>
          <w:sz w:val="28"/>
          <w:szCs w:val="28"/>
          <w:highlight w:val="none"/>
          <w:u w:val="single"/>
        </w:rPr>
        <w:t xml:space="preserve"> </w:t>
      </w:r>
      <w:r>
        <w:rPr>
          <w:rFonts w:hint="eastAsia" w:ascii="仿宋" w:hAnsi="仿宋" w:eastAsia="仿宋" w:cs="仿宋"/>
          <w:b/>
          <w:bCs/>
          <w:color w:val="000000"/>
          <w:sz w:val="28"/>
          <w:szCs w:val="28"/>
          <w:highlight w:val="none"/>
          <w:u w:val="single"/>
        </w:rPr>
        <w:t>由承包人承担。</w:t>
      </w:r>
    </w:p>
    <w:p w14:paraId="1A00570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 xml:space="preserve">17. 不可抗力 </w:t>
      </w:r>
      <w:r>
        <w:rPr>
          <w:rFonts w:hint="eastAsia" w:ascii="仿宋" w:hAnsi="仿宋" w:eastAsia="仿宋" w:cs="仿宋"/>
          <w:kern w:val="1"/>
          <w:sz w:val="28"/>
          <w:szCs w:val="28"/>
          <w:highlight w:val="none"/>
        </w:rPr>
        <w:tab/>
      </w:r>
    </w:p>
    <w:p w14:paraId="3136578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17.1 不可抗力的确认</w:t>
      </w:r>
    </w:p>
    <w:p w14:paraId="25771F76">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 xml:space="preserve">除通用合同条款约定的不可抗力事件之外，视为不可抗力的其他情形： </w:t>
      </w:r>
      <w:r>
        <w:rPr>
          <w:rFonts w:hint="eastAsia" w:ascii="仿宋" w:hAnsi="仿宋" w:eastAsia="仿宋" w:cs="仿宋"/>
          <w:kern w:val="1"/>
          <w:sz w:val="28"/>
          <w:szCs w:val="28"/>
          <w:highlight w:val="none"/>
          <w:u w:val="single"/>
        </w:rPr>
        <w:t>持续8小时以上的异常恶劣气候、以及由县级以上有关部门正式发布和认定的自然灾害</w:t>
      </w:r>
      <w:r>
        <w:rPr>
          <w:rFonts w:hint="eastAsia" w:ascii="仿宋" w:hAnsi="仿宋" w:eastAsia="仿宋" w:cs="仿宋"/>
          <w:kern w:val="1"/>
          <w:sz w:val="28"/>
          <w:szCs w:val="28"/>
          <w:highlight w:val="none"/>
        </w:rPr>
        <w:t>。</w:t>
      </w:r>
    </w:p>
    <w:p w14:paraId="268ED881">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17.2 因不可抗力解除合同</w:t>
      </w:r>
    </w:p>
    <w:p w14:paraId="49907F83">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合同解除后，发包人应在商定或确定发包人应支付款项后</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u w:val="single"/>
          <w:lang w:val="en-US" w:eastAsia="zh-CN"/>
        </w:rPr>
        <w:t xml:space="preserve"> </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天内完成款项的支付。</w:t>
      </w:r>
    </w:p>
    <w:p w14:paraId="3BF6BA07">
      <w:pPr>
        <w:spacing w:line="360" w:lineRule="auto"/>
        <w:ind w:firstLine="560" w:firstLineChars="200"/>
        <w:rPr>
          <w:rFonts w:hint="eastAsia" w:ascii="仿宋" w:hAnsi="仿宋" w:eastAsia="仿宋" w:cs="仿宋"/>
          <w:kern w:val="1"/>
          <w:sz w:val="28"/>
          <w:szCs w:val="28"/>
          <w:highlight w:val="none"/>
        </w:rPr>
      </w:pPr>
      <w:bookmarkStart w:id="1124" w:name="_Toc351203650"/>
      <w:bookmarkEnd w:id="1124"/>
      <w:r>
        <w:rPr>
          <w:rFonts w:hint="eastAsia" w:ascii="仿宋" w:hAnsi="仿宋" w:eastAsia="仿宋" w:cs="仿宋"/>
          <w:kern w:val="1"/>
          <w:sz w:val="28"/>
          <w:szCs w:val="28"/>
          <w:highlight w:val="none"/>
        </w:rPr>
        <w:t>18. 保险</w:t>
      </w:r>
    </w:p>
    <w:p w14:paraId="3B2CEF8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18.1 工程保险</w:t>
      </w:r>
    </w:p>
    <w:p w14:paraId="06FAA987">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关于工程保险的特别约定：</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color="000000"/>
        </w:rPr>
        <w:t>承包人应按规定办理施工人员意外伤害保险并承担该项保险的一切费用。其他有关部门规定必须办理或要求办理的各类强制保险、劳动保险和发包人认为需投保的保险等由承包人自己负责办理并承担一切费用</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31FFAAD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18.2 其他保险</w:t>
      </w:r>
    </w:p>
    <w:p w14:paraId="36E06C8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关于其他保险的约定：</w:t>
      </w:r>
      <w:r>
        <w:rPr>
          <w:rFonts w:hint="eastAsia" w:ascii="仿宋" w:hAnsi="仿宋" w:eastAsia="仿宋" w:cs="仿宋"/>
          <w:b/>
          <w:bCs/>
          <w:kern w:val="1"/>
          <w:sz w:val="28"/>
          <w:szCs w:val="28"/>
          <w:highlight w:val="none"/>
          <w:u w:val="single"/>
        </w:rPr>
        <w:t>承包人必须依照法律规定参保。承包人应为其施工现场的全部人员办理意外伤害保险并支付保险费，包括其员工及为履行合同聘请的第三方的人员 。</w:t>
      </w:r>
    </w:p>
    <w:p w14:paraId="0AE010B4">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承包人是否应为其施工设备等办理财产保险：</w:t>
      </w:r>
      <w:r>
        <w:rPr>
          <w:rFonts w:hint="eastAsia" w:ascii="仿宋" w:hAnsi="仿宋" w:eastAsia="仿宋" w:cs="仿宋"/>
          <w:b/>
          <w:bCs/>
          <w:kern w:val="1"/>
          <w:sz w:val="28"/>
          <w:szCs w:val="28"/>
          <w:highlight w:val="none"/>
          <w:u w:val="single"/>
        </w:rPr>
        <w:t>是</w:t>
      </w:r>
      <w:r>
        <w:rPr>
          <w:rFonts w:hint="eastAsia" w:ascii="仿宋" w:hAnsi="仿宋" w:eastAsia="仿宋" w:cs="仿宋"/>
          <w:kern w:val="1"/>
          <w:sz w:val="28"/>
          <w:szCs w:val="28"/>
          <w:highlight w:val="none"/>
        </w:rPr>
        <w:t>。</w:t>
      </w:r>
    </w:p>
    <w:p w14:paraId="7D56A365">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18.3 通知义务</w:t>
      </w:r>
    </w:p>
    <w:p w14:paraId="1F09DAAF">
      <w:pPr>
        <w:autoSpaceDE w:val="0"/>
        <w:autoSpaceDN w:val="0"/>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关于变更保险合同时的通知义务的约定：</w:t>
      </w:r>
      <w:r>
        <w:rPr>
          <w:rFonts w:hint="eastAsia" w:ascii="仿宋" w:hAnsi="仿宋" w:eastAsia="仿宋" w:cs="仿宋"/>
          <w:kern w:val="1"/>
          <w:sz w:val="28"/>
          <w:szCs w:val="28"/>
          <w:highlight w:val="none"/>
          <w:u w:val="single"/>
        </w:rPr>
        <w:t xml:space="preserve">  </w:t>
      </w:r>
      <w:r>
        <w:rPr>
          <w:rFonts w:hint="eastAsia" w:ascii="仿宋" w:hAnsi="仿宋" w:eastAsia="仿宋" w:cs="仿宋"/>
          <w:b/>
          <w:color w:val="000000"/>
          <w:sz w:val="28"/>
          <w:szCs w:val="28"/>
          <w:highlight w:val="none"/>
          <w:u w:val="single"/>
        </w:rPr>
        <w:t>承包人在变更之日起30</w:t>
      </w:r>
      <w:r>
        <w:rPr>
          <w:rFonts w:hint="eastAsia" w:ascii="仿宋" w:hAnsi="仿宋" w:eastAsia="仿宋" w:cs="仿宋"/>
          <w:b/>
          <w:sz w:val="28"/>
          <w:szCs w:val="28"/>
          <w:highlight w:val="none"/>
          <w:u w:val="single"/>
        </w:rPr>
        <w:t xml:space="preserve"> </w:t>
      </w:r>
      <w:r>
        <w:rPr>
          <w:rFonts w:hint="eastAsia" w:ascii="仿宋" w:hAnsi="仿宋" w:eastAsia="仿宋" w:cs="仿宋"/>
          <w:b/>
          <w:color w:val="000000"/>
          <w:sz w:val="28"/>
          <w:szCs w:val="28"/>
          <w:highlight w:val="none"/>
          <w:u w:val="single"/>
        </w:rPr>
        <w:t>天内，通知发包人并通知监理人</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w:t>
      </w:r>
    </w:p>
    <w:p w14:paraId="55B6A2E3">
      <w:pPr>
        <w:spacing w:line="360" w:lineRule="auto"/>
        <w:ind w:firstLine="560" w:firstLineChars="200"/>
        <w:rPr>
          <w:rFonts w:hint="eastAsia" w:ascii="仿宋" w:hAnsi="仿宋" w:eastAsia="仿宋" w:cs="仿宋"/>
          <w:kern w:val="1"/>
          <w:sz w:val="28"/>
          <w:szCs w:val="28"/>
          <w:highlight w:val="none"/>
        </w:rPr>
      </w:pPr>
      <w:bookmarkStart w:id="1125" w:name="_Toc351203651"/>
      <w:bookmarkEnd w:id="1125"/>
      <w:r>
        <w:rPr>
          <w:rFonts w:hint="eastAsia" w:ascii="仿宋" w:hAnsi="仿宋" w:eastAsia="仿宋" w:cs="仿宋"/>
          <w:kern w:val="1"/>
          <w:sz w:val="28"/>
          <w:szCs w:val="28"/>
          <w:highlight w:val="none"/>
        </w:rPr>
        <w:t>19. 争议解决</w:t>
      </w:r>
    </w:p>
    <w:p w14:paraId="6F274C6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19.1 争议评审</w:t>
      </w:r>
    </w:p>
    <w:p w14:paraId="462A6D2E">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合同当事人是否同意将工程争议提交争议评审小组决定：</w:t>
      </w:r>
      <w:r>
        <w:rPr>
          <w:rFonts w:hint="eastAsia" w:ascii="仿宋" w:hAnsi="仿宋" w:eastAsia="仿宋" w:cs="仿宋"/>
          <w:kern w:val="1"/>
          <w:sz w:val="28"/>
          <w:szCs w:val="28"/>
          <w:highlight w:val="none"/>
          <w:u w:val="single"/>
        </w:rPr>
        <w:t xml:space="preserve">    </w:t>
      </w:r>
      <w:r>
        <w:rPr>
          <w:rFonts w:hint="eastAsia" w:ascii="仿宋" w:hAnsi="仿宋" w:eastAsia="仿宋" w:cs="仿宋"/>
          <w:kern w:val="1"/>
          <w:sz w:val="28"/>
          <w:szCs w:val="28"/>
          <w:highlight w:val="none"/>
        </w:rPr>
        <w:t xml:space="preserve">。  </w:t>
      </w:r>
    </w:p>
    <w:p w14:paraId="1682353B">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19.1.1 争议评审小组的确定</w:t>
      </w:r>
    </w:p>
    <w:p w14:paraId="50AC39BB">
      <w:pPr>
        <w:spacing w:line="36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合同当事人是否同意将工程争议提交争议评审小组决定：</w:t>
      </w:r>
      <w:r>
        <w:rPr>
          <w:rFonts w:hint="eastAsia" w:ascii="仿宋" w:hAnsi="仿宋" w:eastAsia="仿宋" w:cs="仿宋"/>
          <w:kern w:val="1"/>
          <w:sz w:val="28"/>
          <w:szCs w:val="28"/>
          <w:highlight w:val="none"/>
          <w:u w:val="single"/>
        </w:rPr>
        <w:t xml:space="preserve"> 不采用 </w:t>
      </w:r>
      <w:r>
        <w:rPr>
          <w:rFonts w:hint="eastAsia" w:ascii="仿宋" w:hAnsi="仿宋" w:eastAsia="仿宋" w:cs="仿宋"/>
          <w:kern w:val="1"/>
          <w:sz w:val="28"/>
          <w:szCs w:val="28"/>
          <w:highlight w:val="none"/>
        </w:rPr>
        <w:t xml:space="preserve">。  </w:t>
      </w:r>
    </w:p>
    <w:p w14:paraId="347EAD3C">
      <w:pPr>
        <w:spacing w:line="24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19.1.1 争议评审小组的确定</w:t>
      </w:r>
    </w:p>
    <w:p w14:paraId="42AE9B92">
      <w:pPr>
        <w:spacing w:line="240" w:lineRule="auto"/>
        <w:ind w:firstLine="560" w:firstLineChars="200"/>
        <w:rPr>
          <w:rFonts w:hint="eastAsia" w:ascii="仿宋" w:hAnsi="仿宋" w:eastAsia="仿宋" w:cs="仿宋"/>
          <w:kern w:val="1"/>
          <w:sz w:val="28"/>
          <w:szCs w:val="28"/>
          <w:highlight w:val="none"/>
          <w:u w:val="single"/>
        </w:rPr>
      </w:pPr>
      <w:r>
        <w:rPr>
          <w:rFonts w:hint="eastAsia" w:ascii="仿宋" w:hAnsi="仿宋" w:eastAsia="仿宋" w:cs="仿宋"/>
          <w:kern w:val="1"/>
          <w:sz w:val="28"/>
          <w:szCs w:val="28"/>
          <w:highlight w:val="none"/>
        </w:rPr>
        <w:t>争议评审小组成员的确定：</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5A103C52">
      <w:pPr>
        <w:spacing w:line="24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选定争议评审员的期限：</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256785B4">
      <w:pPr>
        <w:spacing w:line="24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争议评审小组成员的报酬承担方式：</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7E4DF3F2">
      <w:pPr>
        <w:spacing w:line="24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其他事项的约定：</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65472055">
      <w:pPr>
        <w:spacing w:line="24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19.2.2 争议评审小组的决定</w:t>
      </w:r>
    </w:p>
    <w:p w14:paraId="2EBEB25A">
      <w:pPr>
        <w:spacing w:line="24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合同当事人关于本项的约定：</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w:t>
      </w:r>
    </w:p>
    <w:p w14:paraId="001470E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19.3仲裁或诉讼</w:t>
      </w:r>
    </w:p>
    <w:p w14:paraId="2D6D8552">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因合同及合同有关事项发生的争议，按下列第</w:t>
      </w:r>
      <w:r>
        <w:rPr>
          <w:rFonts w:hint="eastAsia" w:ascii="仿宋" w:hAnsi="仿宋" w:eastAsia="仿宋" w:cs="仿宋"/>
          <w:kern w:val="1"/>
          <w:sz w:val="28"/>
          <w:szCs w:val="28"/>
          <w:highlight w:val="none"/>
          <w:u w:val="single"/>
        </w:rPr>
        <w:t xml:space="preserve">  2 </w:t>
      </w:r>
      <w:r>
        <w:rPr>
          <w:rFonts w:hint="eastAsia" w:ascii="仿宋" w:hAnsi="仿宋" w:eastAsia="仿宋" w:cs="仿宋"/>
          <w:kern w:val="1"/>
          <w:sz w:val="28"/>
          <w:szCs w:val="28"/>
          <w:highlight w:val="none"/>
        </w:rPr>
        <w:t>种方式解决：</w:t>
      </w:r>
    </w:p>
    <w:p w14:paraId="38DDAEFD">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（1）向</w:t>
      </w:r>
      <w:r>
        <w:rPr>
          <w:rFonts w:hint="eastAsia" w:ascii="仿宋" w:hAnsi="仿宋" w:eastAsia="仿宋" w:cs="仿宋"/>
          <w:kern w:val="1"/>
          <w:sz w:val="28"/>
          <w:szCs w:val="28"/>
          <w:highlight w:val="none"/>
          <w:u w:val="single"/>
        </w:rPr>
        <w:t xml:space="preserve">  /    </w:t>
      </w:r>
      <w:r>
        <w:rPr>
          <w:rFonts w:hint="eastAsia" w:ascii="仿宋" w:hAnsi="仿宋" w:eastAsia="仿宋" w:cs="仿宋"/>
          <w:kern w:val="1"/>
          <w:sz w:val="28"/>
          <w:szCs w:val="28"/>
          <w:highlight w:val="none"/>
        </w:rPr>
        <w:t>仲裁委员会申请仲裁；</w:t>
      </w:r>
    </w:p>
    <w:p w14:paraId="72301B2C">
      <w:pPr>
        <w:spacing w:line="360" w:lineRule="auto"/>
        <w:ind w:firstLine="560" w:firstLineChars="200"/>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（2）向</w:t>
      </w:r>
      <w:r>
        <w:rPr>
          <w:rFonts w:hint="eastAsia" w:ascii="仿宋" w:hAnsi="仿宋" w:eastAsia="仿宋" w:cs="仿宋"/>
          <w:kern w:val="1"/>
          <w:sz w:val="28"/>
          <w:szCs w:val="28"/>
          <w:highlight w:val="none"/>
          <w:u w:val="single"/>
        </w:rPr>
        <w:t xml:space="preserve">      工程所在地        </w:t>
      </w:r>
      <w:r>
        <w:rPr>
          <w:rFonts w:hint="eastAsia" w:ascii="仿宋" w:hAnsi="仿宋" w:eastAsia="仿宋" w:cs="仿宋"/>
          <w:kern w:val="1"/>
          <w:sz w:val="28"/>
          <w:szCs w:val="28"/>
          <w:highlight w:val="none"/>
        </w:rPr>
        <w:t>人民法院起诉。</w:t>
      </w:r>
    </w:p>
    <w:p w14:paraId="59A66960">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5AF5CE5">
      <w:pPr>
        <w:keepNext/>
        <w:keepLines/>
        <w:spacing w:before="100" w:after="100" w:line="240" w:lineRule="atLeas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四、合同附件格式</w:t>
      </w:r>
    </w:p>
    <w:p w14:paraId="210F048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附件1：承包人承揽工程项目一览表</w:t>
      </w:r>
    </w:p>
    <w:p w14:paraId="712ED78C">
      <w:pPr>
        <w:autoSpaceDE w:val="0"/>
        <w:autoSpaceDN w:val="0"/>
        <w:adjustRightInd w:val="0"/>
        <w:spacing w:line="360" w:lineRule="auto"/>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附件2：关于不拖欠农民工工资的承诺</w:t>
      </w:r>
    </w:p>
    <w:p w14:paraId="6DFABD9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附件3：廉洁协议书</w:t>
      </w:r>
    </w:p>
    <w:p w14:paraId="3FE7255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：工程质量保修书</w:t>
      </w:r>
    </w:p>
    <w:p w14:paraId="3EDE940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招标人推荐的材料品牌响应表</w:t>
      </w:r>
    </w:p>
    <w:p w14:paraId="7CEBD30E">
      <w:pPr>
        <w:pStyle w:val="2"/>
        <w:rPr>
          <w:rFonts w:hint="eastAsia" w:ascii="仿宋" w:hAnsi="仿宋" w:eastAsia="仿宋" w:cs="仿宋"/>
          <w:sz w:val="28"/>
          <w:szCs w:val="28"/>
          <w:highlight w:val="none"/>
        </w:rPr>
      </w:pPr>
    </w:p>
    <w:p w14:paraId="7278AE5E">
      <w:pPr>
        <w:pStyle w:val="5"/>
        <w:rPr>
          <w:rFonts w:hint="eastAsia"/>
        </w:rPr>
        <w:sectPr>
          <w:footerReference r:id="rId5" w:type="default"/>
          <w:pgSz w:w="11911" w:h="16849"/>
          <w:pgMar w:top="1134" w:right="1134" w:bottom="1134" w:left="1134" w:header="720" w:footer="720" w:gutter="0"/>
          <w:pgNumType w:fmt="decimal"/>
          <w:cols w:space="0" w:num="1"/>
          <w:rtlGutter w:val="0"/>
          <w:docGrid w:type="lines" w:linePitch="317" w:charSpace="0"/>
        </w:sectPr>
      </w:pPr>
    </w:p>
    <w:p w14:paraId="6DDD3A42">
      <w:pPr>
        <w:spacing w:before="156" w:beforeLines="50" w:after="156" w:afterLines="50" w:line="440" w:lineRule="exact"/>
        <w:ind w:firstLine="560" w:firstLineChars="20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承包人承揽工程项目一览表</w:t>
      </w:r>
    </w:p>
    <w:p w14:paraId="3998F09F">
      <w:pPr>
        <w:ind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附件一</w:t>
      </w:r>
    </w:p>
    <w:tbl>
      <w:tblPr>
        <w:tblStyle w:val="22"/>
        <w:tblpPr w:leftFromText="180" w:rightFromText="180" w:vertAnchor="text" w:horzAnchor="page" w:tblpX="932" w:tblpY="58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6977E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ign w:val="center"/>
          </w:tcPr>
          <w:p w14:paraId="5844CBFC">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单位工程名称</w:t>
            </w:r>
          </w:p>
        </w:tc>
        <w:tc>
          <w:tcPr>
            <w:tcW w:w="1843" w:type="dxa"/>
            <w:tcBorders>
              <w:top w:val="single" w:color="auto" w:sz="12" w:space="0"/>
              <w:bottom w:val="double" w:color="auto" w:sz="6" w:space="0"/>
            </w:tcBorders>
            <w:noWrap/>
            <w:vAlign w:val="center"/>
          </w:tcPr>
          <w:p w14:paraId="4619F90B">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建设规模</w:t>
            </w:r>
          </w:p>
        </w:tc>
        <w:tc>
          <w:tcPr>
            <w:tcW w:w="1417" w:type="dxa"/>
            <w:tcBorders>
              <w:top w:val="single" w:color="auto" w:sz="12" w:space="0"/>
              <w:bottom w:val="double" w:color="auto" w:sz="6" w:space="0"/>
            </w:tcBorders>
            <w:noWrap/>
            <w:vAlign w:val="center"/>
          </w:tcPr>
          <w:p w14:paraId="7F5C2B50">
            <w:pPr>
              <w:keepNext/>
              <w:spacing w:line="440" w:lineRule="exact"/>
              <w:ind w:left="63" w:right="63" w:firstLine="560" w:firstLineChars="2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建筑面积</w:t>
            </w:r>
          </w:p>
          <w:p w14:paraId="5D2E47A7">
            <w:pPr>
              <w:keepNext/>
              <w:spacing w:line="440" w:lineRule="exact"/>
              <w:ind w:left="63" w:right="63" w:firstLine="560" w:firstLineChars="2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(平方米)</w:t>
            </w:r>
          </w:p>
        </w:tc>
        <w:tc>
          <w:tcPr>
            <w:tcW w:w="2410" w:type="dxa"/>
            <w:tcBorders>
              <w:top w:val="single" w:color="auto" w:sz="12" w:space="0"/>
              <w:bottom w:val="double" w:color="auto" w:sz="6" w:space="0"/>
            </w:tcBorders>
            <w:noWrap/>
            <w:vAlign w:val="center"/>
          </w:tcPr>
          <w:p w14:paraId="0E7EFF00">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结构形式</w:t>
            </w:r>
          </w:p>
        </w:tc>
        <w:tc>
          <w:tcPr>
            <w:tcW w:w="850" w:type="dxa"/>
            <w:tcBorders>
              <w:top w:val="single" w:color="auto" w:sz="12" w:space="0"/>
              <w:bottom w:val="double" w:color="auto" w:sz="6" w:space="0"/>
            </w:tcBorders>
            <w:noWrap/>
            <w:vAlign w:val="center"/>
          </w:tcPr>
          <w:p w14:paraId="665DACFC">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层数</w:t>
            </w:r>
          </w:p>
        </w:tc>
        <w:tc>
          <w:tcPr>
            <w:tcW w:w="1560" w:type="dxa"/>
            <w:tcBorders>
              <w:top w:val="single" w:color="auto" w:sz="12" w:space="0"/>
              <w:bottom w:val="double" w:color="auto" w:sz="6" w:space="0"/>
            </w:tcBorders>
            <w:noWrap/>
            <w:vAlign w:val="center"/>
          </w:tcPr>
          <w:p w14:paraId="1F82065B">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生产能力</w:t>
            </w:r>
          </w:p>
        </w:tc>
        <w:tc>
          <w:tcPr>
            <w:tcW w:w="2126" w:type="dxa"/>
            <w:tcBorders>
              <w:top w:val="single" w:color="auto" w:sz="12" w:space="0"/>
              <w:bottom w:val="double" w:color="auto" w:sz="6" w:space="0"/>
            </w:tcBorders>
            <w:noWrap/>
            <w:vAlign w:val="center"/>
          </w:tcPr>
          <w:p w14:paraId="2676B1AE">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设备安装内容</w:t>
            </w:r>
          </w:p>
        </w:tc>
        <w:tc>
          <w:tcPr>
            <w:tcW w:w="1417" w:type="dxa"/>
            <w:tcBorders>
              <w:top w:val="single" w:color="auto" w:sz="12" w:space="0"/>
              <w:bottom w:val="double" w:color="auto" w:sz="6" w:space="0"/>
            </w:tcBorders>
            <w:noWrap/>
            <w:vAlign w:val="center"/>
          </w:tcPr>
          <w:p w14:paraId="63123834">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合同价格（元）</w:t>
            </w:r>
          </w:p>
        </w:tc>
        <w:tc>
          <w:tcPr>
            <w:tcW w:w="851" w:type="dxa"/>
            <w:tcBorders>
              <w:top w:val="single" w:color="auto" w:sz="12" w:space="0"/>
              <w:bottom w:val="double" w:color="auto" w:sz="6" w:space="0"/>
            </w:tcBorders>
            <w:noWrap/>
            <w:vAlign w:val="center"/>
          </w:tcPr>
          <w:p w14:paraId="79466708">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开工日期</w:t>
            </w:r>
          </w:p>
        </w:tc>
        <w:tc>
          <w:tcPr>
            <w:tcW w:w="850" w:type="dxa"/>
            <w:tcBorders>
              <w:top w:val="single" w:color="auto" w:sz="12" w:space="0"/>
              <w:bottom w:val="double" w:color="auto" w:sz="6" w:space="0"/>
            </w:tcBorders>
            <w:noWrap/>
            <w:vAlign w:val="center"/>
          </w:tcPr>
          <w:p w14:paraId="01841ABE">
            <w:pPr>
              <w:keepNext/>
              <w:spacing w:line="440" w:lineRule="exact"/>
              <w:ind w:left="63" w:right="63"/>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竣工日期</w:t>
            </w:r>
          </w:p>
        </w:tc>
      </w:tr>
      <w:tr w14:paraId="4813C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ign w:val="center"/>
          </w:tcPr>
          <w:p w14:paraId="5F3CEE2A">
            <w:pPr>
              <w:keepNext/>
              <w:spacing w:line="440" w:lineRule="exact"/>
              <w:ind w:left="63" w:right="63"/>
              <w:jc w:val="center"/>
              <w:rPr>
                <w:rFonts w:hint="eastAsia" w:ascii="仿宋" w:hAnsi="仿宋" w:eastAsia="仿宋" w:cs="仿宋"/>
                <w:color w:val="000000"/>
                <w:sz w:val="28"/>
                <w:szCs w:val="28"/>
                <w:highlight w:val="none"/>
              </w:rPr>
            </w:pPr>
          </w:p>
        </w:tc>
        <w:tc>
          <w:tcPr>
            <w:tcW w:w="1843" w:type="dxa"/>
            <w:tcBorders>
              <w:top w:val="double" w:color="auto" w:sz="6" w:space="0"/>
              <w:bottom w:val="single" w:color="auto" w:sz="6" w:space="0"/>
            </w:tcBorders>
            <w:noWrap/>
            <w:vAlign w:val="center"/>
          </w:tcPr>
          <w:p w14:paraId="5D35BBBE">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double" w:color="auto" w:sz="6" w:space="0"/>
              <w:bottom w:val="single" w:color="auto" w:sz="6" w:space="0"/>
            </w:tcBorders>
            <w:noWrap/>
            <w:vAlign w:val="center"/>
          </w:tcPr>
          <w:p w14:paraId="74F422EF">
            <w:pPr>
              <w:keepNext/>
              <w:spacing w:line="440" w:lineRule="exact"/>
              <w:ind w:left="63" w:right="63"/>
              <w:jc w:val="center"/>
              <w:rPr>
                <w:rFonts w:hint="eastAsia" w:ascii="仿宋" w:hAnsi="仿宋" w:eastAsia="仿宋" w:cs="仿宋"/>
                <w:color w:val="000000"/>
                <w:sz w:val="28"/>
                <w:szCs w:val="28"/>
                <w:highlight w:val="none"/>
              </w:rPr>
            </w:pPr>
          </w:p>
        </w:tc>
        <w:tc>
          <w:tcPr>
            <w:tcW w:w="2410" w:type="dxa"/>
            <w:tcBorders>
              <w:top w:val="double" w:color="auto" w:sz="6" w:space="0"/>
              <w:bottom w:val="single" w:color="auto" w:sz="6" w:space="0"/>
            </w:tcBorders>
            <w:noWrap/>
            <w:vAlign w:val="center"/>
          </w:tcPr>
          <w:p w14:paraId="3CC0B97C">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double" w:color="auto" w:sz="6" w:space="0"/>
              <w:bottom w:val="single" w:color="auto" w:sz="6" w:space="0"/>
            </w:tcBorders>
            <w:noWrap/>
            <w:vAlign w:val="center"/>
          </w:tcPr>
          <w:p w14:paraId="1ED2482B">
            <w:pPr>
              <w:keepNext/>
              <w:spacing w:line="440" w:lineRule="exact"/>
              <w:ind w:left="63" w:right="63"/>
              <w:jc w:val="center"/>
              <w:rPr>
                <w:rFonts w:hint="eastAsia" w:ascii="仿宋" w:hAnsi="仿宋" w:eastAsia="仿宋" w:cs="仿宋"/>
                <w:color w:val="000000"/>
                <w:sz w:val="28"/>
                <w:szCs w:val="28"/>
                <w:highlight w:val="none"/>
              </w:rPr>
            </w:pPr>
          </w:p>
        </w:tc>
        <w:tc>
          <w:tcPr>
            <w:tcW w:w="1560" w:type="dxa"/>
            <w:tcBorders>
              <w:top w:val="double" w:color="auto" w:sz="6" w:space="0"/>
              <w:bottom w:val="single" w:color="auto" w:sz="6" w:space="0"/>
            </w:tcBorders>
            <w:noWrap/>
            <w:vAlign w:val="center"/>
          </w:tcPr>
          <w:p w14:paraId="13461109">
            <w:pPr>
              <w:keepNext/>
              <w:spacing w:line="440" w:lineRule="exact"/>
              <w:ind w:left="63" w:right="63"/>
              <w:jc w:val="center"/>
              <w:rPr>
                <w:rFonts w:hint="eastAsia" w:ascii="仿宋" w:hAnsi="仿宋" w:eastAsia="仿宋" w:cs="仿宋"/>
                <w:color w:val="000000"/>
                <w:sz w:val="28"/>
                <w:szCs w:val="28"/>
                <w:highlight w:val="none"/>
              </w:rPr>
            </w:pPr>
          </w:p>
        </w:tc>
        <w:tc>
          <w:tcPr>
            <w:tcW w:w="2126" w:type="dxa"/>
            <w:tcBorders>
              <w:top w:val="double" w:color="auto" w:sz="6" w:space="0"/>
              <w:bottom w:val="single" w:color="auto" w:sz="6" w:space="0"/>
            </w:tcBorders>
            <w:noWrap/>
            <w:vAlign w:val="center"/>
          </w:tcPr>
          <w:p w14:paraId="682BB6AE">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double" w:color="auto" w:sz="6" w:space="0"/>
              <w:bottom w:val="single" w:color="auto" w:sz="6" w:space="0"/>
            </w:tcBorders>
            <w:noWrap/>
            <w:vAlign w:val="center"/>
          </w:tcPr>
          <w:p w14:paraId="243D7D60">
            <w:pPr>
              <w:keepNext/>
              <w:spacing w:line="440" w:lineRule="exact"/>
              <w:ind w:left="63" w:right="63"/>
              <w:jc w:val="center"/>
              <w:rPr>
                <w:rFonts w:hint="eastAsia" w:ascii="仿宋" w:hAnsi="仿宋" w:eastAsia="仿宋" w:cs="仿宋"/>
                <w:color w:val="000000"/>
                <w:sz w:val="28"/>
                <w:szCs w:val="28"/>
                <w:highlight w:val="none"/>
              </w:rPr>
            </w:pPr>
          </w:p>
        </w:tc>
        <w:tc>
          <w:tcPr>
            <w:tcW w:w="851" w:type="dxa"/>
            <w:tcBorders>
              <w:top w:val="double" w:color="auto" w:sz="6" w:space="0"/>
              <w:bottom w:val="single" w:color="auto" w:sz="6" w:space="0"/>
            </w:tcBorders>
            <w:noWrap/>
            <w:vAlign w:val="center"/>
          </w:tcPr>
          <w:p w14:paraId="70F61A35">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double" w:color="auto" w:sz="6" w:space="0"/>
              <w:bottom w:val="single" w:color="auto" w:sz="6" w:space="0"/>
            </w:tcBorders>
            <w:noWrap/>
            <w:vAlign w:val="center"/>
          </w:tcPr>
          <w:p w14:paraId="5CF97FA7">
            <w:pPr>
              <w:keepNext/>
              <w:spacing w:line="440" w:lineRule="exact"/>
              <w:ind w:left="63" w:right="63"/>
              <w:jc w:val="center"/>
              <w:rPr>
                <w:rFonts w:hint="eastAsia" w:ascii="仿宋" w:hAnsi="仿宋" w:eastAsia="仿宋" w:cs="仿宋"/>
                <w:color w:val="000000"/>
                <w:sz w:val="28"/>
                <w:szCs w:val="28"/>
                <w:highlight w:val="none"/>
              </w:rPr>
            </w:pPr>
          </w:p>
        </w:tc>
      </w:tr>
      <w:tr w14:paraId="75EB8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5BF4871F">
            <w:pPr>
              <w:keepNext/>
              <w:spacing w:line="440" w:lineRule="exact"/>
              <w:ind w:left="63" w:right="63"/>
              <w:jc w:val="center"/>
              <w:rPr>
                <w:rFonts w:hint="eastAsia" w:ascii="仿宋" w:hAnsi="仿宋" w:eastAsia="仿宋" w:cs="仿宋"/>
                <w:color w:val="000000"/>
                <w:sz w:val="28"/>
                <w:szCs w:val="28"/>
                <w:highlight w:val="none"/>
              </w:rPr>
            </w:pPr>
          </w:p>
        </w:tc>
        <w:tc>
          <w:tcPr>
            <w:tcW w:w="1843" w:type="dxa"/>
            <w:tcBorders>
              <w:top w:val="nil"/>
            </w:tcBorders>
            <w:noWrap/>
            <w:vAlign w:val="center"/>
          </w:tcPr>
          <w:p w14:paraId="4A2A8369">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25395F28">
            <w:pPr>
              <w:keepNext/>
              <w:spacing w:line="440" w:lineRule="exact"/>
              <w:ind w:left="63" w:right="63"/>
              <w:jc w:val="center"/>
              <w:rPr>
                <w:rFonts w:hint="eastAsia" w:ascii="仿宋" w:hAnsi="仿宋" w:eastAsia="仿宋" w:cs="仿宋"/>
                <w:color w:val="000000"/>
                <w:sz w:val="28"/>
                <w:szCs w:val="28"/>
                <w:highlight w:val="none"/>
              </w:rPr>
            </w:pPr>
          </w:p>
        </w:tc>
        <w:tc>
          <w:tcPr>
            <w:tcW w:w="2410" w:type="dxa"/>
            <w:tcBorders>
              <w:top w:val="nil"/>
            </w:tcBorders>
            <w:noWrap/>
            <w:vAlign w:val="center"/>
          </w:tcPr>
          <w:p w14:paraId="36FC578A">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62984F89">
            <w:pPr>
              <w:keepNext/>
              <w:spacing w:line="440" w:lineRule="exact"/>
              <w:ind w:left="63" w:right="63"/>
              <w:jc w:val="center"/>
              <w:rPr>
                <w:rFonts w:hint="eastAsia" w:ascii="仿宋" w:hAnsi="仿宋" w:eastAsia="仿宋" w:cs="仿宋"/>
                <w:color w:val="000000"/>
                <w:sz w:val="28"/>
                <w:szCs w:val="28"/>
                <w:highlight w:val="none"/>
              </w:rPr>
            </w:pPr>
          </w:p>
        </w:tc>
        <w:tc>
          <w:tcPr>
            <w:tcW w:w="1560" w:type="dxa"/>
            <w:tcBorders>
              <w:top w:val="nil"/>
            </w:tcBorders>
            <w:noWrap/>
            <w:vAlign w:val="center"/>
          </w:tcPr>
          <w:p w14:paraId="3C93233C">
            <w:pPr>
              <w:keepNext/>
              <w:spacing w:line="440" w:lineRule="exact"/>
              <w:ind w:left="63" w:right="63"/>
              <w:jc w:val="center"/>
              <w:rPr>
                <w:rFonts w:hint="eastAsia" w:ascii="仿宋" w:hAnsi="仿宋" w:eastAsia="仿宋" w:cs="仿宋"/>
                <w:color w:val="000000"/>
                <w:sz w:val="28"/>
                <w:szCs w:val="28"/>
                <w:highlight w:val="none"/>
              </w:rPr>
            </w:pPr>
          </w:p>
        </w:tc>
        <w:tc>
          <w:tcPr>
            <w:tcW w:w="2126" w:type="dxa"/>
            <w:tcBorders>
              <w:top w:val="nil"/>
            </w:tcBorders>
            <w:noWrap/>
            <w:vAlign w:val="center"/>
          </w:tcPr>
          <w:p w14:paraId="7ABFCAC8">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506EA542">
            <w:pPr>
              <w:keepNext/>
              <w:spacing w:line="440" w:lineRule="exact"/>
              <w:ind w:left="63" w:right="63"/>
              <w:jc w:val="center"/>
              <w:rPr>
                <w:rFonts w:hint="eastAsia" w:ascii="仿宋" w:hAnsi="仿宋" w:eastAsia="仿宋" w:cs="仿宋"/>
                <w:color w:val="000000"/>
                <w:sz w:val="28"/>
                <w:szCs w:val="28"/>
                <w:highlight w:val="none"/>
              </w:rPr>
            </w:pPr>
          </w:p>
        </w:tc>
        <w:tc>
          <w:tcPr>
            <w:tcW w:w="851" w:type="dxa"/>
            <w:tcBorders>
              <w:top w:val="nil"/>
            </w:tcBorders>
            <w:noWrap/>
            <w:vAlign w:val="center"/>
          </w:tcPr>
          <w:p w14:paraId="0ABA2421">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35EB7C32">
            <w:pPr>
              <w:keepNext/>
              <w:spacing w:line="440" w:lineRule="exact"/>
              <w:ind w:left="63" w:right="63"/>
              <w:jc w:val="center"/>
              <w:rPr>
                <w:rFonts w:hint="eastAsia" w:ascii="仿宋" w:hAnsi="仿宋" w:eastAsia="仿宋" w:cs="仿宋"/>
                <w:color w:val="000000"/>
                <w:sz w:val="28"/>
                <w:szCs w:val="28"/>
                <w:highlight w:val="none"/>
              </w:rPr>
            </w:pPr>
          </w:p>
        </w:tc>
      </w:tr>
      <w:tr w14:paraId="2D563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0CE4F533">
            <w:pPr>
              <w:keepNext/>
              <w:spacing w:line="440" w:lineRule="exact"/>
              <w:ind w:left="63" w:right="63"/>
              <w:jc w:val="center"/>
              <w:rPr>
                <w:rFonts w:hint="eastAsia" w:ascii="仿宋" w:hAnsi="仿宋" w:eastAsia="仿宋" w:cs="仿宋"/>
                <w:color w:val="000000"/>
                <w:sz w:val="28"/>
                <w:szCs w:val="28"/>
                <w:highlight w:val="none"/>
              </w:rPr>
            </w:pPr>
          </w:p>
        </w:tc>
        <w:tc>
          <w:tcPr>
            <w:tcW w:w="1843" w:type="dxa"/>
            <w:tcBorders>
              <w:top w:val="nil"/>
            </w:tcBorders>
            <w:noWrap/>
            <w:vAlign w:val="center"/>
          </w:tcPr>
          <w:p w14:paraId="13786044">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21256023">
            <w:pPr>
              <w:keepNext/>
              <w:spacing w:line="440" w:lineRule="exact"/>
              <w:ind w:left="63" w:right="63"/>
              <w:jc w:val="center"/>
              <w:rPr>
                <w:rFonts w:hint="eastAsia" w:ascii="仿宋" w:hAnsi="仿宋" w:eastAsia="仿宋" w:cs="仿宋"/>
                <w:color w:val="000000"/>
                <w:sz w:val="28"/>
                <w:szCs w:val="28"/>
                <w:highlight w:val="none"/>
              </w:rPr>
            </w:pPr>
          </w:p>
        </w:tc>
        <w:tc>
          <w:tcPr>
            <w:tcW w:w="2410" w:type="dxa"/>
            <w:tcBorders>
              <w:top w:val="nil"/>
            </w:tcBorders>
            <w:noWrap/>
            <w:vAlign w:val="center"/>
          </w:tcPr>
          <w:p w14:paraId="4EAA3757">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4FDF4B22">
            <w:pPr>
              <w:keepNext/>
              <w:spacing w:line="440" w:lineRule="exact"/>
              <w:ind w:left="63" w:right="63"/>
              <w:jc w:val="center"/>
              <w:rPr>
                <w:rFonts w:hint="eastAsia" w:ascii="仿宋" w:hAnsi="仿宋" w:eastAsia="仿宋" w:cs="仿宋"/>
                <w:color w:val="000000"/>
                <w:sz w:val="28"/>
                <w:szCs w:val="28"/>
                <w:highlight w:val="none"/>
              </w:rPr>
            </w:pPr>
          </w:p>
        </w:tc>
        <w:tc>
          <w:tcPr>
            <w:tcW w:w="1560" w:type="dxa"/>
            <w:tcBorders>
              <w:top w:val="nil"/>
            </w:tcBorders>
            <w:noWrap/>
            <w:vAlign w:val="center"/>
          </w:tcPr>
          <w:p w14:paraId="3E3A0B5A">
            <w:pPr>
              <w:keepNext/>
              <w:spacing w:line="440" w:lineRule="exact"/>
              <w:ind w:left="63" w:right="63"/>
              <w:jc w:val="center"/>
              <w:rPr>
                <w:rFonts w:hint="eastAsia" w:ascii="仿宋" w:hAnsi="仿宋" w:eastAsia="仿宋" w:cs="仿宋"/>
                <w:color w:val="000000"/>
                <w:sz w:val="28"/>
                <w:szCs w:val="28"/>
                <w:highlight w:val="none"/>
              </w:rPr>
            </w:pPr>
          </w:p>
        </w:tc>
        <w:tc>
          <w:tcPr>
            <w:tcW w:w="2126" w:type="dxa"/>
            <w:tcBorders>
              <w:top w:val="nil"/>
            </w:tcBorders>
            <w:noWrap/>
            <w:vAlign w:val="center"/>
          </w:tcPr>
          <w:p w14:paraId="365EAC81">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483416A3">
            <w:pPr>
              <w:keepNext/>
              <w:spacing w:line="440" w:lineRule="exact"/>
              <w:ind w:left="63" w:right="63"/>
              <w:jc w:val="center"/>
              <w:rPr>
                <w:rFonts w:hint="eastAsia" w:ascii="仿宋" w:hAnsi="仿宋" w:eastAsia="仿宋" w:cs="仿宋"/>
                <w:color w:val="000000"/>
                <w:sz w:val="28"/>
                <w:szCs w:val="28"/>
                <w:highlight w:val="none"/>
              </w:rPr>
            </w:pPr>
          </w:p>
        </w:tc>
        <w:tc>
          <w:tcPr>
            <w:tcW w:w="851" w:type="dxa"/>
            <w:tcBorders>
              <w:top w:val="nil"/>
            </w:tcBorders>
            <w:noWrap/>
            <w:vAlign w:val="center"/>
          </w:tcPr>
          <w:p w14:paraId="5485BF7E">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42D15A15">
            <w:pPr>
              <w:keepNext/>
              <w:spacing w:line="440" w:lineRule="exact"/>
              <w:ind w:left="63" w:right="63"/>
              <w:jc w:val="center"/>
              <w:rPr>
                <w:rFonts w:hint="eastAsia" w:ascii="仿宋" w:hAnsi="仿宋" w:eastAsia="仿宋" w:cs="仿宋"/>
                <w:color w:val="000000"/>
                <w:sz w:val="28"/>
                <w:szCs w:val="28"/>
                <w:highlight w:val="none"/>
              </w:rPr>
            </w:pPr>
          </w:p>
        </w:tc>
      </w:tr>
      <w:tr w14:paraId="3EE38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66E81BE9">
            <w:pPr>
              <w:keepNext/>
              <w:spacing w:line="440" w:lineRule="exact"/>
              <w:ind w:left="63" w:right="63"/>
              <w:jc w:val="center"/>
              <w:rPr>
                <w:rFonts w:hint="eastAsia" w:ascii="仿宋" w:hAnsi="仿宋" w:eastAsia="仿宋" w:cs="仿宋"/>
                <w:color w:val="000000"/>
                <w:sz w:val="28"/>
                <w:szCs w:val="28"/>
                <w:highlight w:val="none"/>
              </w:rPr>
            </w:pPr>
          </w:p>
        </w:tc>
        <w:tc>
          <w:tcPr>
            <w:tcW w:w="1843" w:type="dxa"/>
            <w:noWrap/>
            <w:vAlign w:val="center"/>
          </w:tcPr>
          <w:p w14:paraId="73BB55DB">
            <w:pPr>
              <w:keepNext/>
              <w:spacing w:line="440" w:lineRule="exact"/>
              <w:ind w:left="63" w:right="63"/>
              <w:jc w:val="center"/>
              <w:rPr>
                <w:rFonts w:hint="eastAsia" w:ascii="仿宋" w:hAnsi="仿宋" w:eastAsia="仿宋" w:cs="仿宋"/>
                <w:color w:val="000000"/>
                <w:sz w:val="28"/>
                <w:szCs w:val="28"/>
                <w:highlight w:val="none"/>
              </w:rPr>
            </w:pPr>
          </w:p>
        </w:tc>
        <w:tc>
          <w:tcPr>
            <w:tcW w:w="1417" w:type="dxa"/>
            <w:noWrap/>
            <w:vAlign w:val="center"/>
          </w:tcPr>
          <w:p w14:paraId="179C36DF">
            <w:pPr>
              <w:keepNext/>
              <w:spacing w:line="440" w:lineRule="exact"/>
              <w:ind w:left="63" w:right="63"/>
              <w:jc w:val="center"/>
              <w:rPr>
                <w:rFonts w:hint="eastAsia" w:ascii="仿宋" w:hAnsi="仿宋" w:eastAsia="仿宋" w:cs="仿宋"/>
                <w:color w:val="000000"/>
                <w:sz w:val="28"/>
                <w:szCs w:val="28"/>
                <w:highlight w:val="none"/>
              </w:rPr>
            </w:pPr>
          </w:p>
        </w:tc>
        <w:tc>
          <w:tcPr>
            <w:tcW w:w="2410" w:type="dxa"/>
            <w:noWrap/>
            <w:vAlign w:val="center"/>
          </w:tcPr>
          <w:p w14:paraId="240D260E">
            <w:pPr>
              <w:keepNext/>
              <w:spacing w:line="440" w:lineRule="exact"/>
              <w:ind w:left="63" w:right="63"/>
              <w:jc w:val="center"/>
              <w:rPr>
                <w:rFonts w:hint="eastAsia" w:ascii="仿宋" w:hAnsi="仿宋" w:eastAsia="仿宋" w:cs="仿宋"/>
                <w:color w:val="000000"/>
                <w:sz w:val="28"/>
                <w:szCs w:val="28"/>
                <w:highlight w:val="none"/>
              </w:rPr>
            </w:pPr>
          </w:p>
        </w:tc>
        <w:tc>
          <w:tcPr>
            <w:tcW w:w="850" w:type="dxa"/>
            <w:noWrap/>
            <w:vAlign w:val="center"/>
          </w:tcPr>
          <w:p w14:paraId="26443F1B">
            <w:pPr>
              <w:keepNext/>
              <w:spacing w:line="440" w:lineRule="exact"/>
              <w:ind w:left="63" w:right="63"/>
              <w:jc w:val="center"/>
              <w:rPr>
                <w:rFonts w:hint="eastAsia" w:ascii="仿宋" w:hAnsi="仿宋" w:eastAsia="仿宋" w:cs="仿宋"/>
                <w:color w:val="000000"/>
                <w:sz w:val="28"/>
                <w:szCs w:val="28"/>
                <w:highlight w:val="none"/>
              </w:rPr>
            </w:pPr>
          </w:p>
        </w:tc>
        <w:tc>
          <w:tcPr>
            <w:tcW w:w="1560" w:type="dxa"/>
            <w:noWrap/>
            <w:vAlign w:val="center"/>
          </w:tcPr>
          <w:p w14:paraId="0CE9AFBD">
            <w:pPr>
              <w:keepNext/>
              <w:spacing w:line="440" w:lineRule="exact"/>
              <w:ind w:left="63" w:right="63"/>
              <w:jc w:val="center"/>
              <w:rPr>
                <w:rFonts w:hint="eastAsia" w:ascii="仿宋" w:hAnsi="仿宋" w:eastAsia="仿宋" w:cs="仿宋"/>
                <w:color w:val="000000"/>
                <w:sz w:val="28"/>
                <w:szCs w:val="28"/>
                <w:highlight w:val="none"/>
              </w:rPr>
            </w:pPr>
          </w:p>
        </w:tc>
        <w:tc>
          <w:tcPr>
            <w:tcW w:w="2126" w:type="dxa"/>
            <w:noWrap/>
            <w:vAlign w:val="center"/>
          </w:tcPr>
          <w:p w14:paraId="239E9704">
            <w:pPr>
              <w:keepNext/>
              <w:spacing w:line="440" w:lineRule="exact"/>
              <w:ind w:left="63" w:right="63"/>
              <w:jc w:val="center"/>
              <w:rPr>
                <w:rFonts w:hint="eastAsia" w:ascii="仿宋" w:hAnsi="仿宋" w:eastAsia="仿宋" w:cs="仿宋"/>
                <w:color w:val="000000"/>
                <w:sz w:val="28"/>
                <w:szCs w:val="28"/>
                <w:highlight w:val="none"/>
              </w:rPr>
            </w:pPr>
          </w:p>
        </w:tc>
        <w:tc>
          <w:tcPr>
            <w:tcW w:w="1417" w:type="dxa"/>
            <w:noWrap/>
            <w:vAlign w:val="center"/>
          </w:tcPr>
          <w:p w14:paraId="10A786DC">
            <w:pPr>
              <w:keepNext/>
              <w:spacing w:line="440" w:lineRule="exact"/>
              <w:ind w:left="63" w:right="63"/>
              <w:jc w:val="center"/>
              <w:rPr>
                <w:rFonts w:hint="eastAsia" w:ascii="仿宋" w:hAnsi="仿宋" w:eastAsia="仿宋" w:cs="仿宋"/>
                <w:color w:val="000000"/>
                <w:sz w:val="28"/>
                <w:szCs w:val="28"/>
                <w:highlight w:val="none"/>
              </w:rPr>
            </w:pPr>
          </w:p>
        </w:tc>
        <w:tc>
          <w:tcPr>
            <w:tcW w:w="851" w:type="dxa"/>
            <w:noWrap/>
            <w:vAlign w:val="center"/>
          </w:tcPr>
          <w:p w14:paraId="522EEA30">
            <w:pPr>
              <w:keepNext/>
              <w:spacing w:line="440" w:lineRule="exact"/>
              <w:ind w:left="63" w:right="63"/>
              <w:jc w:val="center"/>
              <w:rPr>
                <w:rFonts w:hint="eastAsia" w:ascii="仿宋" w:hAnsi="仿宋" w:eastAsia="仿宋" w:cs="仿宋"/>
                <w:color w:val="000000"/>
                <w:sz w:val="28"/>
                <w:szCs w:val="28"/>
                <w:highlight w:val="none"/>
              </w:rPr>
            </w:pPr>
          </w:p>
        </w:tc>
        <w:tc>
          <w:tcPr>
            <w:tcW w:w="850" w:type="dxa"/>
            <w:noWrap/>
            <w:vAlign w:val="center"/>
          </w:tcPr>
          <w:p w14:paraId="797370CC">
            <w:pPr>
              <w:keepNext/>
              <w:spacing w:line="440" w:lineRule="exact"/>
              <w:ind w:left="63" w:right="63"/>
              <w:jc w:val="center"/>
              <w:rPr>
                <w:rFonts w:hint="eastAsia" w:ascii="仿宋" w:hAnsi="仿宋" w:eastAsia="仿宋" w:cs="仿宋"/>
                <w:color w:val="000000"/>
                <w:sz w:val="28"/>
                <w:szCs w:val="28"/>
                <w:highlight w:val="none"/>
              </w:rPr>
            </w:pPr>
          </w:p>
        </w:tc>
      </w:tr>
      <w:tr w14:paraId="185EB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01DEE39">
            <w:pPr>
              <w:keepNext/>
              <w:spacing w:line="440" w:lineRule="exact"/>
              <w:ind w:left="63" w:right="63"/>
              <w:jc w:val="center"/>
              <w:rPr>
                <w:rFonts w:hint="eastAsia" w:ascii="仿宋" w:hAnsi="仿宋" w:eastAsia="仿宋" w:cs="仿宋"/>
                <w:color w:val="000000"/>
                <w:sz w:val="28"/>
                <w:szCs w:val="28"/>
                <w:highlight w:val="none"/>
              </w:rPr>
            </w:pPr>
          </w:p>
        </w:tc>
        <w:tc>
          <w:tcPr>
            <w:tcW w:w="1843" w:type="dxa"/>
            <w:tcBorders>
              <w:top w:val="nil"/>
            </w:tcBorders>
            <w:noWrap/>
            <w:vAlign w:val="center"/>
          </w:tcPr>
          <w:p w14:paraId="4F9AF53A">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586DFCD4">
            <w:pPr>
              <w:keepNext/>
              <w:spacing w:line="440" w:lineRule="exact"/>
              <w:ind w:left="63" w:right="63"/>
              <w:jc w:val="center"/>
              <w:rPr>
                <w:rFonts w:hint="eastAsia" w:ascii="仿宋" w:hAnsi="仿宋" w:eastAsia="仿宋" w:cs="仿宋"/>
                <w:color w:val="000000"/>
                <w:sz w:val="28"/>
                <w:szCs w:val="28"/>
                <w:highlight w:val="none"/>
              </w:rPr>
            </w:pPr>
          </w:p>
        </w:tc>
        <w:tc>
          <w:tcPr>
            <w:tcW w:w="2410" w:type="dxa"/>
            <w:tcBorders>
              <w:top w:val="nil"/>
            </w:tcBorders>
            <w:noWrap/>
            <w:vAlign w:val="center"/>
          </w:tcPr>
          <w:p w14:paraId="54CBEBBC">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7C6F24F0">
            <w:pPr>
              <w:keepNext/>
              <w:spacing w:line="440" w:lineRule="exact"/>
              <w:ind w:left="63" w:right="63"/>
              <w:jc w:val="center"/>
              <w:rPr>
                <w:rFonts w:hint="eastAsia" w:ascii="仿宋" w:hAnsi="仿宋" w:eastAsia="仿宋" w:cs="仿宋"/>
                <w:color w:val="000000"/>
                <w:sz w:val="28"/>
                <w:szCs w:val="28"/>
                <w:highlight w:val="none"/>
              </w:rPr>
            </w:pPr>
          </w:p>
        </w:tc>
        <w:tc>
          <w:tcPr>
            <w:tcW w:w="1560" w:type="dxa"/>
            <w:tcBorders>
              <w:top w:val="nil"/>
            </w:tcBorders>
            <w:noWrap/>
            <w:vAlign w:val="center"/>
          </w:tcPr>
          <w:p w14:paraId="35A6185F">
            <w:pPr>
              <w:keepNext/>
              <w:spacing w:line="440" w:lineRule="exact"/>
              <w:ind w:left="63" w:right="63"/>
              <w:jc w:val="center"/>
              <w:rPr>
                <w:rFonts w:hint="eastAsia" w:ascii="仿宋" w:hAnsi="仿宋" w:eastAsia="仿宋" w:cs="仿宋"/>
                <w:color w:val="000000"/>
                <w:sz w:val="28"/>
                <w:szCs w:val="28"/>
                <w:highlight w:val="none"/>
              </w:rPr>
            </w:pPr>
          </w:p>
        </w:tc>
        <w:tc>
          <w:tcPr>
            <w:tcW w:w="2126" w:type="dxa"/>
            <w:tcBorders>
              <w:top w:val="nil"/>
            </w:tcBorders>
            <w:noWrap/>
            <w:vAlign w:val="center"/>
          </w:tcPr>
          <w:p w14:paraId="20A1C389">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7BF2D0C5">
            <w:pPr>
              <w:keepNext/>
              <w:spacing w:line="440" w:lineRule="exact"/>
              <w:ind w:left="63" w:right="63"/>
              <w:jc w:val="center"/>
              <w:rPr>
                <w:rFonts w:hint="eastAsia" w:ascii="仿宋" w:hAnsi="仿宋" w:eastAsia="仿宋" w:cs="仿宋"/>
                <w:color w:val="000000"/>
                <w:sz w:val="28"/>
                <w:szCs w:val="28"/>
                <w:highlight w:val="none"/>
              </w:rPr>
            </w:pPr>
          </w:p>
        </w:tc>
        <w:tc>
          <w:tcPr>
            <w:tcW w:w="851" w:type="dxa"/>
            <w:tcBorders>
              <w:top w:val="nil"/>
            </w:tcBorders>
            <w:noWrap/>
            <w:vAlign w:val="center"/>
          </w:tcPr>
          <w:p w14:paraId="1989B330">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661DCAC7">
            <w:pPr>
              <w:keepNext/>
              <w:spacing w:line="440" w:lineRule="exact"/>
              <w:ind w:left="63" w:right="63"/>
              <w:jc w:val="center"/>
              <w:rPr>
                <w:rFonts w:hint="eastAsia" w:ascii="仿宋" w:hAnsi="仿宋" w:eastAsia="仿宋" w:cs="仿宋"/>
                <w:color w:val="000000"/>
                <w:sz w:val="28"/>
                <w:szCs w:val="28"/>
                <w:highlight w:val="none"/>
              </w:rPr>
            </w:pPr>
          </w:p>
        </w:tc>
      </w:tr>
      <w:tr w14:paraId="16E7F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34345E12">
            <w:pPr>
              <w:keepNext/>
              <w:spacing w:line="440" w:lineRule="exact"/>
              <w:ind w:left="63" w:right="63"/>
              <w:jc w:val="center"/>
              <w:rPr>
                <w:rFonts w:hint="eastAsia" w:ascii="仿宋" w:hAnsi="仿宋" w:eastAsia="仿宋" w:cs="仿宋"/>
                <w:color w:val="000000"/>
                <w:sz w:val="28"/>
                <w:szCs w:val="28"/>
                <w:highlight w:val="none"/>
              </w:rPr>
            </w:pPr>
          </w:p>
        </w:tc>
        <w:tc>
          <w:tcPr>
            <w:tcW w:w="1843" w:type="dxa"/>
            <w:noWrap/>
            <w:vAlign w:val="center"/>
          </w:tcPr>
          <w:p w14:paraId="732CC548">
            <w:pPr>
              <w:keepNext/>
              <w:spacing w:line="440" w:lineRule="exact"/>
              <w:ind w:left="63" w:right="63"/>
              <w:jc w:val="center"/>
              <w:rPr>
                <w:rFonts w:hint="eastAsia" w:ascii="仿宋" w:hAnsi="仿宋" w:eastAsia="仿宋" w:cs="仿宋"/>
                <w:color w:val="000000"/>
                <w:sz w:val="28"/>
                <w:szCs w:val="28"/>
                <w:highlight w:val="none"/>
              </w:rPr>
            </w:pPr>
          </w:p>
        </w:tc>
        <w:tc>
          <w:tcPr>
            <w:tcW w:w="1417" w:type="dxa"/>
            <w:noWrap/>
            <w:vAlign w:val="center"/>
          </w:tcPr>
          <w:p w14:paraId="2E60E311">
            <w:pPr>
              <w:keepNext/>
              <w:spacing w:line="440" w:lineRule="exact"/>
              <w:ind w:left="63" w:right="63"/>
              <w:jc w:val="center"/>
              <w:rPr>
                <w:rFonts w:hint="eastAsia" w:ascii="仿宋" w:hAnsi="仿宋" w:eastAsia="仿宋" w:cs="仿宋"/>
                <w:color w:val="000000"/>
                <w:sz w:val="28"/>
                <w:szCs w:val="28"/>
                <w:highlight w:val="none"/>
              </w:rPr>
            </w:pPr>
          </w:p>
        </w:tc>
        <w:tc>
          <w:tcPr>
            <w:tcW w:w="2410" w:type="dxa"/>
            <w:noWrap/>
            <w:vAlign w:val="center"/>
          </w:tcPr>
          <w:p w14:paraId="01A06B03">
            <w:pPr>
              <w:keepNext/>
              <w:spacing w:line="440" w:lineRule="exact"/>
              <w:ind w:left="63" w:right="63"/>
              <w:jc w:val="center"/>
              <w:rPr>
                <w:rFonts w:hint="eastAsia" w:ascii="仿宋" w:hAnsi="仿宋" w:eastAsia="仿宋" w:cs="仿宋"/>
                <w:color w:val="000000"/>
                <w:sz w:val="28"/>
                <w:szCs w:val="28"/>
                <w:highlight w:val="none"/>
              </w:rPr>
            </w:pPr>
          </w:p>
        </w:tc>
        <w:tc>
          <w:tcPr>
            <w:tcW w:w="850" w:type="dxa"/>
            <w:noWrap/>
            <w:vAlign w:val="center"/>
          </w:tcPr>
          <w:p w14:paraId="077820C7">
            <w:pPr>
              <w:keepNext/>
              <w:spacing w:line="440" w:lineRule="exact"/>
              <w:ind w:left="63" w:right="63"/>
              <w:jc w:val="center"/>
              <w:rPr>
                <w:rFonts w:hint="eastAsia" w:ascii="仿宋" w:hAnsi="仿宋" w:eastAsia="仿宋" w:cs="仿宋"/>
                <w:color w:val="000000"/>
                <w:sz w:val="28"/>
                <w:szCs w:val="28"/>
                <w:highlight w:val="none"/>
              </w:rPr>
            </w:pPr>
          </w:p>
        </w:tc>
        <w:tc>
          <w:tcPr>
            <w:tcW w:w="1560" w:type="dxa"/>
            <w:noWrap/>
            <w:vAlign w:val="center"/>
          </w:tcPr>
          <w:p w14:paraId="1C0FE9C8">
            <w:pPr>
              <w:keepNext/>
              <w:spacing w:line="440" w:lineRule="exact"/>
              <w:ind w:left="63" w:right="63"/>
              <w:jc w:val="center"/>
              <w:rPr>
                <w:rFonts w:hint="eastAsia" w:ascii="仿宋" w:hAnsi="仿宋" w:eastAsia="仿宋" w:cs="仿宋"/>
                <w:color w:val="000000"/>
                <w:sz w:val="28"/>
                <w:szCs w:val="28"/>
                <w:highlight w:val="none"/>
              </w:rPr>
            </w:pPr>
          </w:p>
        </w:tc>
        <w:tc>
          <w:tcPr>
            <w:tcW w:w="2126" w:type="dxa"/>
            <w:noWrap/>
            <w:vAlign w:val="center"/>
          </w:tcPr>
          <w:p w14:paraId="54271E6D">
            <w:pPr>
              <w:keepNext/>
              <w:spacing w:line="440" w:lineRule="exact"/>
              <w:ind w:left="63" w:right="63"/>
              <w:jc w:val="center"/>
              <w:rPr>
                <w:rFonts w:hint="eastAsia" w:ascii="仿宋" w:hAnsi="仿宋" w:eastAsia="仿宋" w:cs="仿宋"/>
                <w:color w:val="000000"/>
                <w:sz w:val="28"/>
                <w:szCs w:val="28"/>
                <w:highlight w:val="none"/>
              </w:rPr>
            </w:pPr>
          </w:p>
        </w:tc>
        <w:tc>
          <w:tcPr>
            <w:tcW w:w="1417" w:type="dxa"/>
            <w:noWrap/>
            <w:vAlign w:val="center"/>
          </w:tcPr>
          <w:p w14:paraId="5193EA78">
            <w:pPr>
              <w:keepNext/>
              <w:spacing w:line="440" w:lineRule="exact"/>
              <w:ind w:left="63" w:right="63"/>
              <w:jc w:val="center"/>
              <w:rPr>
                <w:rFonts w:hint="eastAsia" w:ascii="仿宋" w:hAnsi="仿宋" w:eastAsia="仿宋" w:cs="仿宋"/>
                <w:color w:val="000000"/>
                <w:sz w:val="28"/>
                <w:szCs w:val="28"/>
                <w:highlight w:val="none"/>
              </w:rPr>
            </w:pPr>
          </w:p>
        </w:tc>
        <w:tc>
          <w:tcPr>
            <w:tcW w:w="851" w:type="dxa"/>
            <w:noWrap/>
            <w:vAlign w:val="center"/>
          </w:tcPr>
          <w:p w14:paraId="68159A3A">
            <w:pPr>
              <w:keepNext/>
              <w:spacing w:line="440" w:lineRule="exact"/>
              <w:ind w:left="63" w:right="63"/>
              <w:jc w:val="center"/>
              <w:rPr>
                <w:rFonts w:hint="eastAsia" w:ascii="仿宋" w:hAnsi="仿宋" w:eastAsia="仿宋" w:cs="仿宋"/>
                <w:color w:val="000000"/>
                <w:sz w:val="28"/>
                <w:szCs w:val="28"/>
                <w:highlight w:val="none"/>
              </w:rPr>
            </w:pPr>
          </w:p>
        </w:tc>
        <w:tc>
          <w:tcPr>
            <w:tcW w:w="850" w:type="dxa"/>
            <w:noWrap/>
            <w:vAlign w:val="center"/>
          </w:tcPr>
          <w:p w14:paraId="01EA5550">
            <w:pPr>
              <w:keepNext/>
              <w:spacing w:line="440" w:lineRule="exact"/>
              <w:ind w:left="63" w:right="63"/>
              <w:jc w:val="center"/>
              <w:rPr>
                <w:rFonts w:hint="eastAsia" w:ascii="仿宋" w:hAnsi="仿宋" w:eastAsia="仿宋" w:cs="仿宋"/>
                <w:color w:val="000000"/>
                <w:sz w:val="28"/>
                <w:szCs w:val="28"/>
                <w:highlight w:val="none"/>
              </w:rPr>
            </w:pPr>
          </w:p>
        </w:tc>
      </w:tr>
      <w:tr w14:paraId="24CA6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3B2C7901">
            <w:pPr>
              <w:keepNext/>
              <w:spacing w:line="440" w:lineRule="exact"/>
              <w:ind w:left="63" w:right="63"/>
              <w:jc w:val="center"/>
              <w:rPr>
                <w:rFonts w:hint="eastAsia" w:ascii="仿宋" w:hAnsi="仿宋" w:eastAsia="仿宋" w:cs="仿宋"/>
                <w:color w:val="000000"/>
                <w:sz w:val="28"/>
                <w:szCs w:val="28"/>
                <w:highlight w:val="none"/>
              </w:rPr>
            </w:pPr>
          </w:p>
        </w:tc>
        <w:tc>
          <w:tcPr>
            <w:tcW w:w="1843" w:type="dxa"/>
            <w:tcBorders>
              <w:top w:val="nil"/>
            </w:tcBorders>
            <w:noWrap/>
            <w:vAlign w:val="center"/>
          </w:tcPr>
          <w:p w14:paraId="7EF48430">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100FA4D5">
            <w:pPr>
              <w:keepNext/>
              <w:spacing w:line="440" w:lineRule="exact"/>
              <w:ind w:left="63" w:right="63"/>
              <w:jc w:val="center"/>
              <w:rPr>
                <w:rFonts w:hint="eastAsia" w:ascii="仿宋" w:hAnsi="仿宋" w:eastAsia="仿宋" w:cs="仿宋"/>
                <w:color w:val="000000"/>
                <w:sz w:val="28"/>
                <w:szCs w:val="28"/>
                <w:highlight w:val="none"/>
              </w:rPr>
            </w:pPr>
          </w:p>
        </w:tc>
        <w:tc>
          <w:tcPr>
            <w:tcW w:w="2410" w:type="dxa"/>
            <w:tcBorders>
              <w:top w:val="nil"/>
            </w:tcBorders>
            <w:noWrap/>
            <w:vAlign w:val="center"/>
          </w:tcPr>
          <w:p w14:paraId="0CE1760E">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34DF6F68">
            <w:pPr>
              <w:keepNext/>
              <w:spacing w:line="440" w:lineRule="exact"/>
              <w:ind w:left="63" w:right="63"/>
              <w:jc w:val="center"/>
              <w:rPr>
                <w:rFonts w:hint="eastAsia" w:ascii="仿宋" w:hAnsi="仿宋" w:eastAsia="仿宋" w:cs="仿宋"/>
                <w:color w:val="000000"/>
                <w:sz w:val="28"/>
                <w:szCs w:val="28"/>
                <w:highlight w:val="none"/>
              </w:rPr>
            </w:pPr>
          </w:p>
        </w:tc>
        <w:tc>
          <w:tcPr>
            <w:tcW w:w="1560" w:type="dxa"/>
            <w:tcBorders>
              <w:top w:val="nil"/>
            </w:tcBorders>
            <w:noWrap/>
            <w:vAlign w:val="center"/>
          </w:tcPr>
          <w:p w14:paraId="601272A5">
            <w:pPr>
              <w:keepNext/>
              <w:spacing w:line="440" w:lineRule="exact"/>
              <w:ind w:left="63" w:right="63"/>
              <w:jc w:val="center"/>
              <w:rPr>
                <w:rFonts w:hint="eastAsia" w:ascii="仿宋" w:hAnsi="仿宋" w:eastAsia="仿宋" w:cs="仿宋"/>
                <w:color w:val="000000"/>
                <w:sz w:val="28"/>
                <w:szCs w:val="28"/>
                <w:highlight w:val="none"/>
              </w:rPr>
            </w:pPr>
          </w:p>
        </w:tc>
        <w:tc>
          <w:tcPr>
            <w:tcW w:w="2126" w:type="dxa"/>
            <w:tcBorders>
              <w:top w:val="nil"/>
            </w:tcBorders>
            <w:noWrap/>
            <w:vAlign w:val="center"/>
          </w:tcPr>
          <w:p w14:paraId="68B886BA">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67576B8F">
            <w:pPr>
              <w:keepNext/>
              <w:spacing w:line="440" w:lineRule="exact"/>
              <w:ind w:left="63" w:right="63"/>
              <w:jc w:val="center"/>
              <w:rPr>
                <w:rFonts w:hint="eastAsia" w:ascii="仿宋" w:hAnsi="仿宋" w:eastAsia="仿宋" w:cs="仿宋"/>
                <w:color w:val="000000"/>
                <w:sz w:val="28"/>
                <w:szCs w:val="28"/>
                <w:highlight w:val="none"/>
              </w:rPr>
            </w:pPr>
          </w:p>
        </w:tc>
        <w:tc>
          <w:tcPr>
            <w:tcW w:w="851" w:type="dxa"/>
            <w:tcBorders>
              <w:top w:val="nil"/>
            </w:tcBorders>
            <w:noWrap/>
            <w:vAlign w:val="center"/>
          </w:tcPr>
          <w:p w14:paraId="0D29F592">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617E8568">
            <w:pPr>
              <w:keepNext/>
              <w:spacing w:line="440" w:lineRule="exact"/>
              <w:ind w:left="63" w:right="63"/>
              <w:jc w:val="center"/>
              <w:rPr>
                <w:rFonts w:hint="eastAsia" w:ascii="仿宋" w:hAnsi="仿宋" w:eastAsia="仿宋" w:cs="仿宋"/>
                <w:color w:val="000000"/>
                <w:sz w:val="28"/>
                <w:szCs w:val="28"/>
                <w:highlight w:val="none"/>
              </w:rPr>
            </w:pPr>
          </w:p>
        </w:tc>
      </w:tr>
      <w:tr w14:paraId="2F80E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4FE60C5E">
            <w:pPr>
              <w:keepNext/>
              <w:spacing w:line="440" w:lineRule="exact"/>
              <w:ind w:left="63" w:right="63"/>
              <w:jc w:val="center"/>
              <w:rPr>
                <w:rFonts w:hint="eastAsia" w:ascii="仿宋" w:hAnsi="仿宋" w:eastAsia="仿宋" w:cs="仿宋"/>
                <w:color w:val="000000"/>
                <w:sz w:val="28"/>
                <w:szCs w:val="28"/>
                <w:highlight w:val="none"/>
              </w:rPr>
            </w:pPr>
          </w:p>
        </w:tc>
        <w:tc>
          <w:tcPr>
            <w:tcW w:w="1843" w:type="dxa"/>
            <w:tcBorders>
              <w:top w:val="nil"/>
            </w:tcBorders>
            <w:noWrap/>
            <w:vAlign w:val="center"/>
          </w:tcPr>
          <w:p w14:paraId="79645680">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46514FF9">
            <w:pPr>
              <w:keepNext/>
              <w:spacing w:line="440" w:lineRule="exact"/>
              <w:ind w:left="63" w:right="63"/>
              <w:jc w:val="center"/>
              <w:rPr>
                <w:rFonts w:hint="eastAsia" w:ascii="仿宋" w:hAnsi="仿宋" w:eastAsia="仿宋" w:cs="仿宋"/>
                <w:color w:val="000000"/>
                <w:sz w:val="28"/>
                <w:szCs w:val="28"/>
                <w:highlight w:val="none"/>
              </w:rPr>
            </w:pPr>
          </w:p>
        </w:tc>
        <w:tc>
          <w:tcPr>
            <w:tcW w:w="2410" w:type="dxa"/>
            <w:tcBorders>
              <w:top w:val="nil"/>
            </w:tcBorders>
            <w:noWrap/>
            <w:vAlign w:val="center"/>
          </w:tcPr>
          <w:p w14:paraId="71AA71AD">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3A6F2AAF">
            <w:pPr>
              <w:keepNext/>
              <w:spacing w:line="440" w:lineRule="exact"/>
              <w:ind w:left="63" w:right="63"/>
              <w:jc w:val="center"/>
              <w:rPr>
                <w:rFonts w:hint="eastAsia" w:ascii="仿宋" w:hAnsi="仿宋" w:eastAsia="仿宋" w:cs="仿宋"/>
                <w:color w:val="000000"/>
                <w:sz w:val="28"/>
                <w:szCs w:val="28"/>
                <w:highlight w:val="none"/>
              </w:rPr>
            </w:pPr>
          </w:p>
        </w:tc>
        <w:tc>
          <w:tcPr>
            <w:tcW w:w="1560" w:type="dxa"/>
            <w:tcBorders>
              <w:top w:val="nil"/>
            </w:tcBorders>
            <w:noWrap/>
            <w:vAlign w:val="center"/>
          </w:tcPr>
          <w:p w14:paraId="11528903">
            <w:pPr>
              <w:keepNext/>
              <w:spacing w:line="440" w:lineRule="exact"/>
              <w:ind w:left="63" w:right="63"/>
              <w:jc w:val="center"/>
              <w:rPr>
                <w:rFonts w:hint="eastAsia" w:ascii="仿宋" w:hAnsi="仿宋" w:eastAsia="仿宋" w:cs="仿宋"/>
                <w:color w:val="000000"/>
                <w:sz w:val="28"/>
                <w:szCs w:val="28"/>
                <w:highlight w:val="none"/>
              </w:rPr>
            </w:pPr>
          </w:p>
        </w:tc>
        <w:tc>
          <w:tcPr>
            <w:tcW w:w="2126" w:type="dxa"/>
            <w:tcBorders>
              <w:top w:val="nil"/>
            </w:tcBorders>
            <w:noWrap/>
            <w:vAlign w:val="center"/>
          </w:tcPr>
          <w:p w14:paraId="5C21E62B">
            <w:pPr>
              <w:keepNext/>
              <w:spacing w:line="440" w:lineRule="exact"/>
              <w:ind w:left="63" w:right="63"/>
              <w:jc w:val="center"/>
              <w:rPr>
                <w:rFonts w:hint="eastAsia" w:ascii="仿宋" w:hAnsi="仿宋" w:eastAsia="仿宋" w:cs="仿宋"/>
                <w:color w:val="000000"/>
                <w:sz w:val="28"/>
                <w:szCs w:val="28"/>
                <w:highlight w:val="none"/>
              </w:rPr>
            </w:pPr>
          </w:p>
        </w:tc>
        <w:tc>
          <w:tcPr>
            <w:tcW w:w="1417" w:type="dxa"/>
            <w:tcBorders>
              <w:top w:val="nil"/>
            </w:tcBorders>
            <w:noWrap/>
            <w:vAlign w:val="center"/>
          </w:tcPr>
          <w:p w14:paraId="2F3EBF82">
            <w:pPr>
              <w:keepNext/>
              <w:spacing w:line="440" w:lineRule="exact"/>
              <w:ind w:left="63" w:right="63"/>
              <w:jc w:val="center"/>
              <w:rPr>
                <w:rFonts w:hint="eastAsia" w:ascii="仿宋" w:hAnsi="仿宋" w:eastAsia="仿宋" w:cs="仿宋"/>
                <w:color w:val="000000"/>
                <w:sz w:val="28"/>
                <w:szCs w:val="28"/>
                <w:highlight w:val="none"/>
              </w:rPr>
            </w:pPr>
          </w:p>
        </w:tc>
        <w:tc>
          <w:tcPr>
            <w:tcW w:w="851" w:type="dxa"/>
            <w:tcBorders>
              <w:top w:val="nil"/>
            </w:tcBorders>
            <w:noWrap/>
            <w:vAlign w:val="center"/>
          </w:tcPr>
          <w:p w14:paraId="71278CDD">
            <w:pPr>
              <w:keepNext/>
              <w:spacing w:line="440" w:lineRule="exact"/>
              <w:ind w:left="63" w:right="63"/>
              <w:jc w:val="center"/>
              <w:rPr>
                <w:rFonts w:hint="eastAsia" w:ascii="仿宋" w:hAnsi="仿宋" w:eastAsia="仿宋" w:cs="仿宋"/>
                <w:color w:val="000000"/>
                <w:sz w:val="28"/>
                <w:szCs w:val="28"/>
                <w:highlight w:val="none"/>
              </w:rPr>
            </w:pPr>
          </w:p>
        </w:tc>
        <w:tc>
          <w:tcPr>
            <w:tcW w:w="850" w:type="dxa"/>
            <w:tcBorders>
              <w:top w:val="nil"/>
            </w:tcBorders>
            <w:noWrap/>
            <w:vAlign w:val="center"/>
          </w:tcPr>
          <w:p w14:paraId="2A02DF56">
            <w:pPr>
              <w:keepNext/>
              <w:spacing w:line="440" w:lineRule="exact"/>
              <w:ind w:left="63" w:right="63"/>
              <w:jc w:val="center"/>
              <w:rPr>
                <w:rFonts w:hint="eastAsia" w:ascii="仿宋" w:hAnsi="仿宋" w:eastAsia="仿宋" w:cs="仿宋"/>
                <w:color w:val="000000"/>
                <w:sz w:val="28"/>
                <w:szCs w:val="28"/>
                <w:highlight w:val="none"/>
              </w:rPr>
            </w:pPr>
          </w:p>
        </w:tc>
      </w:tr>
    </w:tbl>
    <w:p w14:paraId="1A9978EF">
      <w:pPr>
        <w:spacing w:before="156" w:beforeLines="50" w:after="156" w:afterLines="50" w:line="440" w:lineRule="exact"/>
        <w:ind w:firstLine="562" w:firstLineChars="200"/>
        <w:jc w:val="center"/>
        <w:rPr>
          <w:rFonts w:hint="eastAsia" w:ascii="仿宋" w:hAnsi="仿宋" w:eastAsia="仿宋" w:cs="仿宋"/>
          <w:b/>
          <w:color w:val="000000"/>
          <w:sz w:val="28"/>
          <w:szCs w:val="28"/>
          <w:highlight w:val="none"/>
        </w:rPr>
        <w:sectPr>
          <w:pgSz w:w="16849" w:h="11911" w:orient="landscape"/>
          <w:pgMar w:top="1134" w:right="1134" w:bottom="1134" w:left="1134" w:header="720" w:footer="720" w:gutter="0"/>
          <w:pgNumType w:fmt="decimal"/>
          <w:cols w:space="0" w:num="1"/>
          <w:rtlGutter w:val="0"/>
          <w:docGrid w:type="lines" w:linePitch="317" w:charSpace="0"/>
        </w:sectPr>
      </w:pPr>
    </w:p>
    <w:p w14:paraId="7DAAC137">
      <w:pPr>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附件二</w:t>
      </w:r>
    </w:p>
    <w:p w14:paraId="15D890DF">
      <w:pPr>
        <w:spacing w:before="48" w:beforeLines="20" w:after="48" w:afterLines="20"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关于不拖欠农民工工资的承诺（格式）</w:t>
      </w:r>
    </w:p>
    <w:p w14:paraId="72F2CC24">
      <w:pPr>
        <w:spacing w:before="48" w:beforeLines="20" w:after="48" w:afterLines="2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致：（采购人名称）</w:t>
      </w:r>
    </w:p>
    <w:p w14:paraId="1C4A63DD">
      <w:pPr>
        <w:spacing w:before="48" w:beforeLines="20" w:after="48" w:afterLines="2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我公司郑重承诺：我方将对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（工程名称）进行投标。我方承诺：若我方中标，我方将按照《安徽省建设工程农民工工资支付保障暂行办法》 要求，向县级以上劳动保障行政部门提交农民工工资支付保障手续，保障农民工的权益，不拖欠农民工工资。如违反承诺，我方愿按有关规定接受任何处罚。</w:t>
      </w:r>
    </w:p>
    <w:p w14:paraId="1B41823E">
      <w:pPr>
        <w:spacing w:before="48" w:beforeLines="20" w:after="48" w:afterLines="2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供应商：（盖单位章）</w:t>
      </w:r>
    </w:p>
    <w:p w14:paraId="44AF97BC">
      <w:pPr>
        <w:spacing w:before="48" w:beforeLines="20" w:after="48" w:afterLines="2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法定代表人：（签名）</w:t>
      </w:r>
    </w:p>
    <w:p w14:paraId="1A4CD354">
      <w:pPr>
        <w:spacing w:before="48" w:beforeLines="20" w:after="48" w:afterLines="20" w:line="360" w:lineRule="auto"/>
        <w:ind w:firstLine="560" w:firstLineChars="200"/>
        <w:jc w:val="right"/>
        <w:rPr>
          <w:rFonts w:hint="eastAsia" w:ascii="仿宋" w:hAnsi="仿宋" w:eastAsia="仿宋" w:cs="仿宋"/>
          <w:b/>
          <w:sz w:val="28"/>
          <w:szCs w:val="28"/>
          <w:highlight w:val="none"/>
        </w:rPr>
      </w:pPr>
      <w:r>
        <w:rPr>
          <w:rFonts w:hint="eastAsia" w:ascii="仿宋" w:hAnsi="仿宋" w:eastAsia="仿宋" w:cs="仿宋"/>
          <w:sz w:val="28"/>
          <w:szCs w:val="28"/>
          <w:highlight w:val="none"/>
        </w:rPr>
        <w:t>日  期：</w:t>
      </w:r>
    </w:p>
    <w:p w14:paraId="1E3382B1">
      <w:pPr>
        <w:spacing w:before="48" w:beforeLines="20" w:after="48" w:afterLines="20" w:line="360" w:lineRule="auto"/>
        <w:rPr>
          <w:rFonts w:hint="eastAsia" w:ascii="仿宋" w:hAnsi="仿宋" w:eastAsia="仿宋" w:cs="仿宋"/>
          <w:sz w:val="28"/>
          <w:szCs w:val="28"/>
          <w:highlight w:val="none"/>
        </w:rPr>
      </w:pPr>
    </w:p>
    <w:p w14:paraId="7E22A3EE">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743CA812">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附件三</w:t>
      </w:r>
    </w:p>
    <w:p w14:paraId="75E73471">
      <w:pPr>
        <w:adjustRightInd w:val="0"/>
        <w:snapToGrid w:val="0"/>
        <w:spacing w:before="48" w:beforeLines="20" w:after="48" w:afterLines="2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廉洁协议书</w:t>
      </w:r>
    </w:p>
    <w:p w14:paraId="04633933">
      <w:pPr>
        <w:widowControl/>
        <w:adjustRightInd w:val="0"/>
        <w:snapToGrid w:val="0"/>
        <w:spacing w:line="360" w:lineRule="auto"/>
        <w:ind w:firstLine="548" w:firstLineChars="196"/>
        <w:jc w:val="left"/>
        <w:rPr>
          <w:rFonts w:hint="eastAsia" w:ascii="仿宋" w:hAnsi="仿宋" w:eastAsia="仿宋" w:cs="仿宋"/>
          <w:sz w:val="28"/>
          <w:szCs w:val="28"/>
          <w:highlight w:val="none"/>
        </w:rPr>
      </w:pPr>
    </w:p>
    <w:p w14:paraId="38D495F7">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发包人（全称）：</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{采购人名称}</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7B8A5DC5">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承包人（全称）：</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{中标人名称}</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5038F016">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D50EAB0">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为预防</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（项目）合作过程中的违规、违纪和经济犯罪行为的发生，促进廉洁从业，经双方协商，达成如下协议：</w:t>
      </w:r>
    </w:p>
    <w:p w14:paraId="270B788B">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一、承揽甲方业务，乙方不得向甲方工作人员送钱、物、礼品、有价证券或有其他贿赂行为。如有违反，一经查实，将按以下约定追究乙方责任：</w:t>
      </w:r>
    </w:p>
    <w:p w14:paraId="21B54F27">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1、甲方有权终止合作，并取消乙方及其项目经理三年内在甲方的合作资格。 </w:t>
      </w:r>
    </w:p>
    <w:p w14:paraId="2E6CADCC">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2、由此造成甲方的一切损失由乙方赔偿，且乙方交纳的各种保证金不予退还。</w:t>
      </w:r>
    </w:p>
    <w:p w14:paraId="651ECDBE">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3、按贿赂金额的10倍支付违约金。</w:t>
      </w:r>
    </w:p>
    <w:p w14:paraId="003A5776">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二、乙方应积极抵制歪风邪气，对甲方工作人员利用职务或工作之便进行索贿以及其他违反合作纪律的行为。</w:t>
      </w:r>
    </w:p>
    <w:p w14:paraId="1C10B96B">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三、本协议自签订之日起生效，与合作合同具有同等的法律效力。</w:t>
      </w:r>
    </w:p>
    <w:p w14:paraId="683A8364">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四、本协议份数与主合同一致。</w:t>
      </w:r>
    </w:p>
    <w:p w14:paraId="013DD7CC">
      <w:pPr>
        <w:spacing w:after="60" w:afterLines="25" w:line="480" w:lineRule="exact"/>
        <w:ind w:firstLine="560" w:firstLineChars="200"/>
        <w:rPr>
          <w:rFonts w:hint="eastAsia" w:ascii="仿宋" w:hAnsi="仿宋" w:eastAsia="仿宋" w:cs="仿宋"/>
          <w:sz w:val="28"/>
          <w:szCs w:val="28"/>
          <w:highlight w:val="none"/>
        </w:rPr>
      </w:pPr>
    </w:p>
    <w:p w14:paraId="7847D07D">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甲方（盖章）：　　　　　　　  乙方（盖章）：</w:t>
      </w:r>
    </w:p>
    <w:p w14:paraId="2686BC51">
      <w:pPr>
        <w:spacing w:after="60" w:afterLines="25" w:line="480" w:lineRule="exact"/>
        <w:rPr>
          <w:rFonts w:hint="eastAsia" w:ascii="仿宋" w:hAnsi="仿宋" w:eastAsia="仿宋" w:cs="仿宋"/>
          <w:sz w:val="28"/>
          <w:szCs w:val="28"/>
          <w:highlight w:val="none"/>
        </w:rPr>
      </w:pPr>
    </w:p>
    <w:p w14:paraId="1A6AC755">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法定代表人（委托代理人）：　　法定代表人（委托代理人）：</w:t>
      </w:r>
    </w:p>
    <w:p w14:paraId="5587A110">
      <w:pPr>
        <w:spacing w:after="60" w:afterLines="25" w:line="480" w:lineRule="exact"/>
        <w:ind w:firstLine="560" w:firstLineChars="200"/>
        <w:rPr>
          <w:rFonts w:hint="eastAsia" w:ascii="仿宋" w:hAnsi="仿宋" w:eastAsia="仿宋" w:cs="仿宋"/>
          <w:sz w:val="28"/>
          <w:szCs w:val="28"/>
          <w:highlight w:val="none"/>
        </w:rPr>
      </w:pPr>
    </w:p>
    <w:p w14:paraId="2C4A630A">
      <w:pPr>
        <w:spacing w:after="60" w:afterLines="25"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    月    日               年  　月　  日</w:t>
      </w:r>
    </w:p>
    <w:p w14:paraId="71CEA40A">
      <w:pPr>
        <w:spacing w:before="100" w:after="100" w:line="360" w:lineRule="auto"/>
        <w:jc w:val="center"/>
        <w:rPr>
          <w:rFonts w:hint="eastAsia" w:ascii="仿宋" w:hAnsi="仿宋" w:eastAsia="仿宋" w:cs="仿宋"/>
          <w:b/>
          <w:kern w:val="0"/>
          <w:sz w:val="28"/>
          <w:szCs w:val="28"/>
          <w:highlight w:val="none"/>
        </w:rPr>
      </w:pPr>
    </w:p>
    <w:p w14:paraId="2AC1DF3D">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2BD5D441">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 xml:space="preserve">： </w:t>
      </w:r>
    </w:p>
    <w:p w14:paraId="5950EF4D">
      <w:pPr>
        <w:spacing w:before="120" w:beforeLines="50" w:after="120" w:afterLines="50" w:line="360" w:lineRule="auto"/>
        <w:ind w:firstLine="560" w:firstLineChars="20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工程质量保修书</w:t>
      </w:r>
    </w:p>
    <w:p w14:paraId="5F730795">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发包人（全称）：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14:paraId="085C8584">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承包人（全称）：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14:paraId="7066A2DA">
      <w:pPr>
        <w:autoSpaceDE w:val="0"/>
        <w:autoSpaceDN w:val="0"/>
        <w:spacing w:line="360" w:lineRule="auto"/>
        <w:ind w:firstLine="560" w:firstLineChars="200"/>
        <w:rPr>
          <w:rFonts w:hint="eastAsia" w:ascii="仿宋" w:hAnsi="仿宋" w:eastAsia="仿宋" w:cs="仿宋"/>
          <w:color w:val="000000"/>
          <w:sz w:val="28"/>
          <w:szCs w:val="28"/>
          <w:highlight w:val="none"/>
        </w:rPr>
      </w:pPr>
    </w:p>
    <w:p w14:paraId="30FCCBC2">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发包人和承包人根据《中华人民共和国建筑法》和《建设工程质量管理条例》，经协商一致就</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（工程全称）签订工程质量保修书。</w:t>
      </w:r>
    </w:p>
    <w:p w14:paraId="0445F9DE">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一、工程质量保修范围和内容</w:t>
      </w:r>
    </w:p>
    <w:p w14:paraId="20BDC312">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承包人在质量保修期内，按照有关法律规定和合同约定，承担工程质量保修责任。</w:t>
      </w:r>
    </w:p>
    <w:p w14:paraId="756259C2">
      <w:pPr>
        <w:autoSpaceDE w:val="0"/>
        <w:autoSpaceDN w:val="0"/>
        <w:spacing w:line="36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000000"/>
          <w:sz w:val="28"/>
          <w:szCs w:val="28"/>
          <w:highlight w:val="none"/>
          <w:u w:val="single"/>
        </w:rPr>
        <w:t xml:space="preserve">                   </w:t>
      </w:r>
    </w:p>
    <w:p w14:paraId="403C7727">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p>
    <w:p w14:paraId="639181E8">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二、质量保修期</w:t>
      </w:r>
    </w:p>
    <w:p w14:paraId="7DFDCACD">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根据《建设工程质量管理条例》及有关规定，工程的质量保修期如下：</w:t>
      </w:r>
    </w:p>
    <w:p w14:paraId="490500BD">
      <w:pPr>
        <w:autoSpaceDE w:val="0"/>
        <w:autoSpaceDN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地基基础工程和主体结构工程为设计文件规定的工程合理使用年限；</w:t>
      </w:r>
    </w:p>
    <w:p w14:paraId="1FC0FC49">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屋面防水工程、有防水要求的卫生间、房间和外墙面的防渗为</w:t>
      </w:r>
      <w:r>
        <w:rPr>
          <w:rFonts w:hint="eastAsia" w:ascii="仿宋" w:hAnsi="仿宋" w:eastAsia="仿宋" w:cs="仿宋"/>
          <w:color w:val="000000"/>
          <w:sz w:val="28"/>
          <w:szCs w:val="28"/>
          <w:highlight w:val="none"/>
          <w:u w:val="single"/>
        </w:rPr>
        <w:t xml:space="preserve">  /     </w:t>
      </w:r>
      <w:r>
        <w:rPr>
          <w:rFonts w:hint="eastAsia" w:ascii="仿宋" w:hAnsi="仿宋" w:eastAsia="仿宋" w:cs="仿宋"/>
          <w:color w:val="000000"/>
          <w:sz w:val="28"/>
          <w:szCs w:val="28"/>
          <w:highlight w:val="none"/>
        </w:rPr>
        <w:t>年；</w:t>
      </w:r>
    </w:p>
    <w:p w14:paraId="35865DEB">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装修工程为</w:t>
      </w:r>
      <w:r>
        <w:rPr>
          <w:rFonts w:hint="eastAsia" w:ascii="仿宋" w:hAnsi="仿宋" w:eastAsia="仿宋" w:cs="仿宋"/>
          <w:color w:val="000000"/>
          <w:sz w:val="28"/>
          <w:szCs w:val="28"/>
          <w:highlight w:val="none"/>
          <w:u w:val="single"/>
        </w:rPr>
        <w:t xml:space="preserve">  /   </w:t>
      </w:r>
      <w:r>
        <w:rPr>
          <w:rFonts w:hint="eastAsia" w:ascii="仿宋" w:hAnsi="仿宋" w:eastAsia="仿宋" w:cs="仿宋"/>
          <w:color w:val="000000"/>
          <w:sz w:val="28"/>
          <w:szCs w:val="28"/>
          <w:highlight w:val="none"/>
        </w:rPr>
        <w:t>年；</w:t>
      </w:r>
    </w:p>
    <w:p w14:paraId="2844090B">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电气管线、给排水管道、设备安装工程为</w:t>
      </w:r>
      <w:r>
        <w:rPr>
          <w:rFonts w:hint="eastAsia" w:ascii="仿宋" w:hAnsi="仿宋" w:eastAsia="仿宋" w:cs="仿宋"/>
          <w:color w:val="000000"/>
          <w:sz w:val="28"/>
          <w:szCs w:val="28"/>
          <w:highlight w:val="none"/>
          <w:u w:val="single"/>
        </w:rPr>
        <w:t xml:space="preserve">  /  </w:t>
      </w:r>
      <w:r>
        <w:rPr>
          <w:rFonts w:hint="eastAsia" w:ascii="仿宋" w:hAnsi="仿宋" w:eastAsia="仿宋" w:cs="仿宋"/>
          <w:color w:val="000000"/>
          <w:sz w:val="28"/>
          <w:szCs w:val="28"/>
          <w:highlight w:val="none"/>
        </w:rPr>
        <w:t>年；</w:t>
      </w:r>
    </w:p>
    <w:p w14:paraId="5FB29B44">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供热与供冷系统为</w:t>
      </w:r>
      <w:r>
        <w:rPr>
          <w:rFonts w:hint="eastAsia" w:ascii="仿宋" w:hAnsi="仿宋" w:eastAsia="仿宋" w:cs="仿宋"/>
          <w:color w:val="000000"/>
          <w:sz w:val="28"/>
          <w:szCs w:val="28"/>
          <w:highlight w:val="none"/>
          <w:u w:val="single"/>
        </w:rPr>
        <w:t xml:space="preserve">  /   </w:t>
      </w:r>
      <w:r>
        <w:rPr>
          <w:rFonts w:hint="eastAsia" w:ascii="仿宋" w:hAnsi="仿宋" w:eastAsia="仿宋" w:cs="仿宋"/>
          <w:color w:val="000000"/>
          <w:sz w:val="28"/>
          <w:szCs w:val="28"/>
          <w:highlight w:val="none"/>
        </w:rPr>
        <w:t>个采暖期、供冷期；</w:t>
      </w:r>
    </w:p>
    <w:p w14:paraId="55E27E59">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住宅小区内的给排水设施、道路等配套工程为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p>
    <w:p w14:paraId="78D6EB23">
      <w:pPr>
        <w:autoSpaceDE w:val="0"/>
        <w:autoSpaceDN w:val="0"/>
        <w:spacing w:line="36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7</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其他项目保修期限约定如下：</w:t>
      </w:r>
      <w:r>
        <w:rPr>
          <w:rFonts w:hint="eastAsia" w:ascii="仿宋" w:hAnsi="仿宋" w:eastAsia="仿宋" w:cs="仿宋"/>
          <w:color w:val="000000"/>
          <w:sz w:val="28"/>
          <w:szCs w:val="28"/>
          <w:highlight w:val="none"/>
          <w:u w:val="single"/>
        </w:rPr>
        <w:t xml:space="preserve">                                                  </w:t>
      </w:r>
    </w:p>
    <w:p w14:paraId="3DDCF0B6">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0959D030">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质量保修期自工程竣工验收合格之日起计算。</w:t>
      </w:r>
    </w:p>
    <w:p w14:paraId="215D3253">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三、缺陷责任期</w:t>
      </w:r>
    </w:p>
    <w:p w14:paraId="672F0271">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工程缺陷责任期为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24</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个月，缺陷责任期自工程竣工验收合格之日起计算。单位工程先于全部工程进行验收，单位工程缺陷责任期自单位工程验收合格之日起算。</w:t>
      </w:r>
    </w:p>
    <w:p w14:paraId="00C28CF9">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缺陷责任期终止后，发包人应退还剩余的质量保证金。</w:t>
      </w:r>
    </w:p>
    <w:p w14:paraId="0F0FDF09">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四、质量保修责任</w:t>
      </w:r>
    </w:p>
    <w:p w14:paraId="6802C755">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属于保修范围、内容的项目，承包人应当在接到保修通知之日起7天内派人保修。承包人不在约定期限内派人保修的，发包人可以委托他人修理。</w:t>
      </w:r>
    </w:p>
    <w:p w14:paraId="61D6C26E">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发生紧急事故需抢修的，承包人在接到事故通知后，应当立即到达事故现场抢修。</w:t>
      </w:r>
    </w:p>
    <w:p w14:paraId="0F5C5F34">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AD6FB07">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质量保修完成后，由发包人组织验收。</w:t>
      </w:r>
    </w:p>
    <w:p w14:paraId="54241666">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五、保修费用</w:t>
      </w:r>
    </w:p>
    <w:p w14:paraId="67A6436A">
      <w:pPr>
        <w:autoSpaceDE w:val="0"/>
        <w:autoSpaceDN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保修费用由造成质量缺陷的责任方承担。</w:t>
      </w:r>
    </w:p>
    <w:p w14:paraId="7C1D8B9B">
      <w:pPr>
        <w:autoSpaceDE w:val="0"/>
        <w:autoSpaceDN w:val="0"/>
        <w:spacing w:line="360" w:lineRule="auto"/>
        <w:ind w:firstLine="562" w:firstLineChars="200"/>
        <w:jc w:val="left"/>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rPr>
        <w:t>六</w:t>
      </w:r>
      <w:r>
        <w:rPr>
          <w:rFonts w:hint="eastAsia" w:ascii="仿宋" w:hAnsi="仿宋" w:eastAsia="仿宋" w:cs="仿宋"/>
          <w:color w:val="000000"/>
          <w:sz w:val="28"/>
          <w:szCs w:val="28"/>
          <w:highlight w:val="none"/>
        </w:rPr>
        <w:t>、双方约定的其他工程质量保修事项：</w:t>
      </w:r>
    </w:p>
    <w:p w14:paraId="22DBCEA8">
      <w:pPr>
        <w:spacing w:line="36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75DC3E2D">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工程质量保修书由发包人、承包人在工程竣工验收前共同签署，作为施工合同附件，其有效期限至保修期满。</w:t>
      </w:r>
    </w:p>
    <w:p w14:paraId="060F8FF2">
      <w:pPr>
        <w:spacing w:line="360" w:lineRule="auto"/>
        <w:ind w:firstLine="420"/>
        <w:rPr>
          <w:rFonts w:hint="eastAsia" w:ascii="仿宋" w:hAnsi="仿宋" w:eastAsia="仿宋" w:cs="仿宋"/>
          <w:color w:val="000000"/>
          <w:sz w:val="28"/>
          <w:szCs w:val="28"/>
          <w:highlight w:val="none"/>
        </w:rPr>
      </w:pPr>
    </w:p>
    <w:p w14:paraId="681CEAC7">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发包人(公章)：</w:t>
      </w:r>
      <w:r>
        <w:rPr>
          <w:rFonts w:hint="eastAsia" w:ascii="仿宋" w:hAnsi="仿宋" w:eastAsia="仿宋" w:cs="仿宋"/>
          <w:color w:val="000000"/>
          <w:sz w:val="28"/>
          <w:szCs w:val="28"/>
          <w:highlight w:val="none"/>
          <w:u w:val="single"/>
        </w:rPr>
        <w:t xml:space="preserve">        </w:t>
      </w:r>
      <w:r>
        <w:rPr>
          <w:rFonts w:hint="eastAsia" w:ascii="仿宋" w:hAnsi="仿宋" w:eastAsia="仿宋" w:cs="仿宋"/>
          <w:color w:val="000000"/>
          <w:sz w:val="28"/>
          <w:szCs w:val="28"/>
          <w:highlight w:val="none"/>
        </w:rPr>
        <w:t xml:space="preserve"> 承包人(公章)：</w:t>
      </w:r>
      <w:r>
        <w:rPr>
          <w:rFonts w:hint="eastAsia" w:ascii="仿宋" w:hAnsi="仿宋" w:eastAsia="仿宋" w:cs="仿宋"/>
          <w:color w:val="000000"/>
          <w:sz w:val="28"/>
          <w:szCs w:val="28"/>
          <w:highlight w:val="none"/>
          <w:u w:val="single"/>
        </w:rPr>
        <w:t xml:space="preserve">           </w:t>
      </w:r>
    </w:p>
    <w:p w14:paraId="55C108CB">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    </w:t>
      </w:r>
      <w:r>
        <w:rPr>
          <w:rFonts w:hint="eastAsia" w:ascii="仿宋" w:hAnsi="仿宋" w:eastAsia="仿宋" w:cs="仿宋"/>
          <w:color w:val="000000"/>
          <w:sz w:val="28"/>
          <w:szCs w:val="28"/>
          <w:highlight w:val="none"/>
        </w:rPr>
        <w:t xml:space="preserve"> 地  址：</w:t>
      </w:r>
      <w:r>
        <w:rPr>
          <w:rFonts w:hint="eastAsia" w:ascii="仿宋" w:hAnsi="仿宋" w:eastAsia="仿宋" w:cs="仿宋"/>
          <w:color w:val="000000"/>
          <w:sz w:val="28"/>
          <w:szCs w:val="28"/>
          <w:highlight w:val="none"/>
          <w:u w:val="single"/>
        </w:rPr>
        <w:t xml:space="preserve">       </w:t>
      </w:r>
    </w:p>
    <w:p w14:paraId="5BA9A285">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法定代表人(签字)：</w:t>
      </w:r>
      <w:r>
        <w:rPr>
          <w:rFonts w:hint="eastAsia" w:ascii="仿宋" w:hAnsi="仿宋" w:eastAsia="仿宋" w:cs="仿宋"/>
          <w:color w:val="000000"/>
          <w:sz w:val="28"/>
          <w:szCs w:val="28"/>
          <w:highlight w:val="none"/>
          <w:u w:val="single"/>
        </w:rPr>
        <w:t xml:space="preserve">       </w:t>
      </w:r>
    </w:p>
    <w:p w14:paraId="3BD9CD7D">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委托代理人(签字)：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委托代理人(签字)：</w:t>
      </w:r>
      <w:r>
        <w:rPr>
          <w:rFonts w:hint="eastAsia" w:ascii="仿宋" w:hAnsi="仿宋" w:eastAsia="仿宋" w:cs="仿宋"/>
          <w:color w:val="000000"/>
          <w:sz w:val="28"/>
          <w:szCs w:val="28"/>
          <w:highlight w:val="none"/>
          <w:u w:val="single"/>
        </w:rPr>
        <w:t xml:space="preserve">       </w:t>
      </w:r>
    </w:p>
    <w:p w14:paraId="35819178">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  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电  话：</w:t>
      </w:r>
      <w:r>
        <w:rPr>
          <w:rFonts w:hint="eastAsia" w:ascii="仿宋" w:hAnsi="仿宋" w:eastAsia="仿宋" w:cs="仿宋"/>
          <w:color w:val="000000"/>
          <w:sz w:val="28"/>
          <w:szCs w:val="28"/>
          <w:highlight w:val="none"/>
          <w:u w:val="single"/>
        </w:rPr>
        <w:t xml:space="preserve">     </w:t>
      </w:r>
    </w:p>
    <w:p w14:paraId="1CEE2197">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  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传  真：</w:t>
      </w:r>
      <w:r>
        <w:rPr>
          <w:rFonts w:hint="eastAsia" w:ascii="仿宋" w:hAnsi="仿宋" w:eastAsia="仿宋" w:cs="仿宋"/>
          <w:color w:val="000000"/>
          <w:sz w:val="28"/>
          <w:szCs w:val="28"/>
          <w:highlight w:val="none"/>
          <w:u w:val="single"/>
        </w:rPr>
        <w:t xml:space="preserve">     </w:t>
      </w:r>
    </w:p>
    <w:p w14:paraId="21CBB5BA">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开户银行：</w:t>
      </w:r>
      <w:r>
        <w:rPr>
          <w:rFonts w:hint="eastAsia" w:ascii="仿宋" w:hAnsi="仿宋" w:eastAsia="仿宋" w:cs="仿宋"/>
          <w:color w:val="000000"/>
          <w:sz w:val="28"/>
          <w:szCs w:val="28"/>
          <w:highlight w:val="none"/>
          <w:u w:val="single"/>
        </w:rPr>
        <w:t xml:space="preserve">   </w:t>
      </w:r>
    </w:p>
    <w:p w14:paraId="5AE90FBC">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  号：</w:t>
      </w:r>
      <w:r>
        <w:rPr>
          <w:rFonts w:hint="eastAsia" w:ascii="仿宋" w:hAnsi="仿宋" w:eastAsia="仿宋" w:cs="仿宋"/>
          <w:color w:val="000000"/>
          <w:sz w:val="28"/>
          <w:szCs w:val="28"/>
          <w:highlight w:val="none"/>
          <w:u w:val="single"/>
        </w:rPr>
        <w:t xml:space="preserve">       </w:t>
      </w:r>
      <w:r>
        <w:rPr>
          <w:rFonts w:hint="eastAsia" w:ascii="仿宋" w:hAnsi="仿宋" w:eastAsia="仿宋" w:cs="仿宋"/>
          <w:color w:val="000000"/>
          <w:sz w:val="28"/>
          <w:szCs w:val="28"/>
          <w:highlight w:val="none"/>
        </w:rPr>
        <w:t xml:space="preserve">  账  号：</w:t>
      </w:r>
      <w:r>
        <w:rPr>
          <w:rFonts w:hint="eastAsia" w:ascii="仿宋" w:hAnsi="仿宋" w:eastAsia="仿宋" w:cs="仿宋"/>
          <w:color w:val="000000"/>
          <w:sz w:val="28"/>
          <w:szCs w:val="28"/>
          <w:highlight w:val="none"/>
          <w:u w:val="single"/>
        </w:rPr>
        <w:t xml:space="preserve">     </w:t>
      </w:r>
    </w:p>
    <w:p w14:paraId="1DDE3E67">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    </w:t>
      </w:r>
      <w:r>
        <w:rPr>
          <w:rFonts w:hint="eastAsia" w:ascii="仿宋" w:hAnsi="仿宋" w:eastAsia="仿宋" w:cs="仿宋"/>
          <w:color w:val="000000"/>
          <w:sz w:val="28"/>
          <w:szCs w:val="28"/>
          <w:highlight w:val="none"/>
        </w:rPr>
        <w:t xml:space="preserve"> 邮政编码：</w:t>
      </w:r>
      <w:r>
        <w:rPr>
          <w:rFonts w:hint="eastAsia" w:ascii="仿宋" w:hAnsi="仿宋" w:eastAsia="仿宋" w:cs="仿宋"/>
          <w:color w:val="000000"/>
          <w:sz w:val="28"/>
          <w:szCs w:val="28"/>
          <w:highlight w:val="none"/>
          <w:u w:val="single"/>
        </w:rPr>
        <w:t xml:space="preserve">   </w:t>
      </w:r>
    </w:p>
    <w:p w14:paraId="6D30360C">
      <w:pPr>
        <w:rPr>
          <w:rFonts w:hint="eastAsia" w:ascii="仿宋" w:hAnsi="仿宋" w:eastAsia="仿宋" w:cs="仿宋"/>
          <w:sz w:val="28"/>
          <w:szCs w:val="28"/>
          <w:highlight w:val="none"/>
        </w:rPr>
      </w:pPr>
    </w:p>
    <w:p w14:paraId="0B520C6E">
      <w:pPr>
        <w:rPr>
          <w:rFonts w:hint="eastAsia" w:ascii="仿宋" w:hAnsi="仿宋" w:eastAsia="仿宋" w:cs="仿宋"/>
          <w:b/>
          <w:bCs/>
          <w:sz w:val="28"/>
          <w:szCs w:val="28"/>
          <w:highlight w:val="none"/>
        </w:rPr>
      </w:pPr>
    </w:p>
    <w:p w14:paraId="1EB67D03">
      <w:pPr>
        <w:pStyle w:val="2"/>
        <w:ind w:left="420" w:firstLine="440"/>
        <w:rPr>
          <w:rFonts w:hint="eastAsia" w:ascii="仿宋" w:hAnsi="仿宋" w:eastAsia="仿宋" w:cs="仿宋"/>
          <w:sz w:val="28"/>
          <w:szCs w:val="28"/>
          <w:highlight w:val="none"/>
        </w:rPr>
      </w:pPr>
    </w:p>
    <w:p w14:paraId="2FB569DD">
      <w:pPr>
        <w:spacing w:line="360" w:lineRule="auto"/>
        <w:rPr>
          <w:rFonts w:ascii="仿宋" w:hAnsi="仿宋" w:eastAsia="仿宋" w:cs="仿宋"/>
          <w:bCs/>
          <w:color w:val="auto"/>
          <w:sz w:val="32"/>
          <w:szCs w:val="24"/>
          <w:highlight w:val="none"/>
          <w:lang w:eastAsia="zh-CN"/>
        </w:rPr>
      </w:pPr>
      <w:bookmarkStart w:id="1126" w:name="_Toc29341"/>
      <w:bookmarkEnd w:id="1126"/>
      <w:bookmarkStart w:id="1127" w:name="_Toc27907"/>
      <w:bookmarkEnd w:id="1127"/>
      <w:bookmarkStart w:id="1128" w:name="_Toc29307"/>
      <w:bookmarkEnd w:id="1128"/>
      <w:bookmarkStart w:id="1129" w:name="_bookmark6"/>
      <w:bookmarkEnd w:id="1129"/>
      <w:bookmarkStart w:id="1130" w:name="第七章_投标文件格式"/>
      <w:bookmarkEnd w:id="1130"/>
      <w:bookmarkStart w:id="1131" w:name="_Toc4294"/>
      <w:bookmarkStart w:id="1132" w:name="_Toc30828"/>
      <w:r>
        <w:rPr>
          <w:rFonts w:hint="eastAsia" w:ascii="仿宋" w:hAnsi="仿宋" w:eastAsia="仿宋" w:cs="仿宋"/>
          <w:sz w:val="28"/>
          <w:szCs w:val="28"/>
          <w:highlight w:val="none"/>
        </w:rPr>
        <w:br w:type="page"/>
      </w:r>
      <w:r>
        <w:rPr>
          <w:rFonts w:hint="eastAsia" w:ascii="仿宋" w:hAnsi="仿宋" w:eastAsia="仿宋" w:cs="仿宋"/>
          <w:color w:val="auto"/>
          <w:spacing w:val="-4"/>
          <w:sz w:val="32"/>
          <w:szCs w:val="32"/>
          <w:highlight w:val="none"/>
          <w:lang w:eastAsia="zh-CN"/>
        </w:rPr>
        <w:t>附件五：</w:t>
      </w:r>
      <w:bookmarkStart w:id="1133" w:name="bookmark5"/>
      <w:bookmarkEnd w:id="1133"/>
      <w:r>
        <w:rPr>
          <w:rFonts w:hint="eastAsia" w:ascii="仿宋" w:hAnsi="仿宋" w:eastAsia="仿宋" w:cs="仿宋"/>
          <w:bCs/>
          <w:color w:val="auto"/>
          <w:sz w:val="32"/>
          <w:szCs w:val="24"/>
          <w:highlight w:val="none"/>
          <w:lang w:eastAsia="zh-CN"/>
        </w:rPr>
        <w:t>招标人推荐的材料品牌响应表</w:t>
      </w:r>
    </w:p>
    <w:p w14:paraId="4F5B0857">
      <w:pPr>
        <w:spacing w:line="360" w:lineRule="auto"/>
        <w:jc w:val="center"/>
        <w:rPr>
          <w:rFonts w:ascii="仿宋" w:hAnsi="仿宋" w:eastAsia="仿宋" w:cs="仿宋"/>
          <w:b/>
          <w:color w:val="auto"/>
          <w:sz w:val="24"/>
          <w:highlight w:val="none"/>
          <w:lang w:val="zh-CN" w:eastAsia="zh-CN"/>
        </w:rPr>
      </w:pPr>
    </w:p>
    <w:p w14:paraId="73B2C7A4">
      <w:pPr>
        <w:spacing w:line="360" w:lineRule="auto"/>
        <w:jc w:val="center"/>
        <w:rPr>
          <w:rFonts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附表一： 房建市政类项目质控材料品牌表（</w:t>
      </w:r>
      <w:r>
        <w:rPr>
          <w:rFonts w:hint="eastAsia" w:ascii="仿宋" w:hAnsi="仿宋" w:eastAsia="仿宋" w:cs="仿宋"/>
          <w:b/>
          <w:color w:val="auto"/>
          <w:sz w:val="24"/>
          <w:highlight w:val="none"/>
          <w:lang w:eastAsia="zh-CN"/>
        </w:rPr>
        <w:t>240623</w:t>
      </w:r>
      <w:r>
        <w:rPr>
          <w:rFonts w:hint="eastAsia" w:ascii="仿宋" w:hAnsi="仿宋" w:eastAsia="仿宋" w:cs="仿宋"/>
          <w:b/>
          <w:color w:val="auto"/>
          <w:sz w:val="24"/>
          <w:highlight w:val="none"/>
          <w:lang w:val="zh-CN" w:eastAsia="zh-CN"/>
        </w:rPr>
        <w:t>）</w:t>
      </w:r>
    </w:p>
    <w:p w14:paraId="49F6AEE5">
      <w:pPr>
        <w:pStyle w:val="2"/>
        <w:rPr>
          <w:rFonts w:ascii="仿宋" w:hAnsi="仿宋" w:eastAsia="仿宋" w:cs="仿宋"/>
          <w:color w:val="auto"/>
          <w:highlight w:val="none"/>
          <w:lang w:val="zh-CN" w:eastAsia="zh-CN"/>
        </w:rPr>
      </w:pPr>
    </w:p>
    <w:tbl>
      <w:tblPr>
        <w:tblStyle w:val="22"/>
        <w:tblW w:w="10636" w:type="dxa"/>
        <w:jc w:val="center"/>
        <w:tblLayout w:type="fixed"/>
        <w:tblCellMar>
          <w:top w:w="0" w:type="dxa"/>
          <w:left w:w="108" w:type="dxa"/>
          <w:bottom w:w="0" w:type="dxa"/>
          <w:right w:w="108" w:type="dxa"/>
        </w:tblCellMar>
      </w:tblPr>
      <w:tblGrid>
        <w:gridCol w:w="736"/>
        <w:gridCol w:w="2653"/>
        <w:gridCol w:w="7247"/>
      </w:tblGrid>
      <w:tr w14:paraId="13CA728D">
        <w:tblPrEx>
          <w:tblCellMar>
            <w:top w:w="0" w:type="dxa"/>
            <w:left w:w="108" w:type="dxa"/>
            <w:bottom w:w="0" w:type="dxa"/>
            <w:right w:w="108" w:type="dxa"/>
          </w:tblCellMar>
        </w:tblPrEx>
        <w:trPr>
          <w:trHeight w:val="500"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97FA213">
            <w:pPr>
              <w:widowControl w:val="0"/>
              <w:kinsoku/>
              <w:spacing w:line="240" w:lineRule="atLeast"/>
              <w:jc w:val="center"/>
              <w:textAlignment w:val="auto"/>
              <w:rPr>
                <w:rFonts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序号</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66845C1">
            <w:pPr>
              <w:widowControl w:val="0"/>
              <w:kinsoku/>
              <w:spacing w:line="240" w:lineRule="atLeast"/>
              <w:jc w:val="center"/>
              <w:textAlignment w:val="auto"/>
              <w:rPr>
                <w:rFonts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材料名称</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D95EF80">
            <w:pPr>
              <w:widowControl w:val="0"/>
              <w:kinsoku/>
              <w:spacing w:line="240" w:lineRule="atLeast"/>
              <w:jc w:val="center"/>
              <w:textAlignment w:val="auto"/>
              <w:rPr>
                <w:rFonts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材料品牌</w:t>
            </w:r>
          </w:p>
        </w:tc>
      </w:tr>
      <w:tr w14:paraId="6D1D3A67">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4710F5F">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7059D88">
            <w:pPr>
              <w:widowControl w:val="0"/>
              <w:kinsoku/>
              <w:spacing w:line="240" w:lineRule="atLeast"/>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乳胶漆</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4683621">
            <w:pPr>
              <w:widowControl w:val="0"/>
              <w:kinsoku/>
              <w:spacing w:line="240" w:lineRule="atLeast"/>
              <w:textAlignment w:val="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立邦、三棵树、多乐士。</w:t>
            </w:r>
            <w:r>
              <w:rPr>
                <w:rFonts w:hint="eastAsia" w:ascii="仿宋" w:hAnsi="仿宋" w:eastAsia="仿宋" w:cs="仿宋"/>
                <w:color w:val="auto"/>
                <w:sz w:val="24"/>
                <w:highlight w:val="none"/>
                <w:lang w:eastAsia="zh-CN"/>
              </w:rPr>
              <w:t>或不低于同等档次品牌。</w:t>
            </w:r>
          </w:p>
        </w:tc>
      </w:tr>
      <w:tr w14:paraId="32AA6281">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3FFEE2D">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2</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tcPr>
          <w:p w14:paraId="708F77F4">
            <w:pPr>
              <w:widowControl w:val="0"/>
              <w:kinsoku/>
              <w:spacing w:line="240" w:lineRule="atLeast"/>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石膏板</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952E564">
            <w:pPr>
              <w:widowControl w:val="0"/>
              <w:kinsoku/>
              <w:spacing w:line="240" w:lineRule="atLeast"/>
              <w:textAlignment w:val="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 xml:space="preserve">泰山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龙牌</w:t>
            </w:r>
            <w:r>
              <w:rPr>
                <w:rFonts w:hint="eastAsia" w:ascii="仿宋" w:hAnsi="仿宋" w:eastAsia="仿宋" w:cs="仿宋"/>
                <w:color w:val="auto"/>
                <w:sz w:val="24"/>
                <w:highlight w:val="none"/>
                <w:lang w:eastAsia="zh-CN"/>
              </w:rPr>
              <w:t>、可耐福</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eastAsia="zh-CN"/>
              </w:rPr>
              <w:t>或不低于同等档次品牌。</w:t>
            </w:r>
          </w:p>
        </w:tc>
      </w:tr>
      <w:tr w14:paraId="56A2B2EF">
        <w:tblPrEx>
          <w:tblCellMar>
            <w:top w:w="0" w:type="dxa"/>
            <w:left w:w="108" w:type="dxa"/>
            <w:bottom w:w="0" w:type="dxa"/>
            <w:right w:w="108" w:type="dxa"/>
          </w:tblCellMar>
        </w:tblPrEx>
        <w:trPr>
          <w:trHeight w:val="291"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437577">
            <w:pPr>
              <w:widowControl w:val="0"/>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3</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3EBBCB6">
            <w:pPr>
              <w:widowControl w:val="0"/>
              <w:kinsoku/>
              <w:spacing w:line="240" w:lineRule="atLeast"/>
              <w:textAlignment w:val="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腻子粉</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76A0F57">
            <w:pPr>
              <w:widowControl w:val="0"/>
              <w:kinsoku/>
              <w:spacing w:line="240" w:lineRule="atLeast"/>
              <w:textAlignment w:val="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德高、</w:t>
            </w:r>
            <w:r>
              <w:rPr>
                <w:rFonts w:hint="eastAsia" w:ascii="仿宋" w:hAnsi="仿宋" w:eastAsia="仿宋" w:cs="仿宋"/>
                <w:color w:val="auto"/>
                <w:sz w:val="24"/>
                <w:highlight w:val="none"/>
                <w:lang w:val="en-US" w:eastAsia="zh-CN"/>
              </w:rPr>
              <w:t>多乐士</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三棵树</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eastAsia="zh-CN"/>
              </w:rPr>
              <w:t>或不低于同等档次品牌。</w:t>
            </w:r>
          </w:p>
        </w:tc>
      </w:tr>
      <w:tr w14:paraId="7EBC5D19">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571167D">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4</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824F929">
            <w:pPr>
              <w:widowControl w:val="0"/>
              <w:kinsoku/>
              <w:spacing w:line="240" w:lineRule="atLeast"/>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阻燃板/细木工板</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F64A36">
            <w:pPr>
              <w:widowControl w:val="0"/>
              <w:kinsoku/>
              <w:spacing w:line="240" w:lineRule="atLeast"/>
              <w:textAlignment w:val="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兔宝宝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招财树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千年舟</w:t>
            </w:r>
            <w:r>
              <w:rPr>
                <w:rFonts w:hint="eastAsia" w:ascii="仿宋" w:hAnsi="仿宋" w:eastAsia="仿宋" w:cs="仿宋"/>
                <w:color w:val="auto"/>
                <w:sz w:val="24"/>
                <w:highlight w:val="none"/>
                <w:lang w:eastAsia="zh-CN"/>
              </w:rPr>
              <w:t>。或不低于同等档次品牌。</w:t>
            </w:r>
          </w:p>
        </w:tc>
      </w:tr>
      <w:tr w14:paraId="08903DAE">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7B978A">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5</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D668170">
            <w:pPr>
              <w:widowControl w:val="0"/>
              <w:kinsoku/>
              <w:spacing w:line="240" w:lineRule="atLeas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生态板</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E4EC617">
            <w:pPr>
              <w:widowControl w:val="0"/>
              <w:kinsoku/>
              <w:spacing w:line="240" w:lineRule="atLeast"/>
              <w:textAlignment w:val="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兔宝宝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海旭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千年舟</w:t>
            </w:r>
            <w:r>
              <w:rPr>
                <w:rFonts w:hint="eastAsia" w:ascii="仿宋" w:hAnsi="仿宋" w:eastAsia="仿宋" w:cs="仿宋"/>
                <w:color w:val="auto"/>
                <w:sz w:val="24"/>
                <w:highlight w:val="none"/>
                <w:lang w:eastAsia="zh-CN"/>
              </w:rPr>
              <w:t>。或不低于同等档次品牌。</w:t>
            </w:r>
          </w:p>
        </w:tc>
      </w:tr>
      <w:tr w14:paraId="78108EE9">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E94A5D7">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6</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85302F">
            <w:pPr>
              <w:widowControl w:val="0"/>
              <w:kinsoku/>
              <w:spacing w:line="240" w:lineRule="atLeas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轻钢龙骨</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8BB968">
            <w:pPr>
              <w:widowControl w:val="0"/>
              <w:kinsoku/>
              <w:spacing w:line="240" w:lineRule="atLeast"/>
              <w:textAlignment w:val="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泰山</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龙牌</w:t>
            </w:r>
            <w:r>
              <w:rPr>
                <w:rFonts w:hint="eastAsia" w:ascii="仿宋" w:hAnsi="仿宋" w:eastAsia="仿宋" w:cs="仿宋"/>
                <w:color w:val="auto"/>
                <w:sz w:val="24"/>
                <w:highlight w:val="none"/>
                <w:lang w:eastAsia="zh-CN"/>
              </w:rPr>
              <w:t>、可耐福</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eastAsia="zh-CN"/>
              </w:rPr>
              <w:t>或不低于同等档次品牌。</w:t>
            </w:r>
          </w:p>
        </w:tc>
      </w:tr>
      <w:tr w14:paraId="73527E34">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5658F48">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7</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9B01F56">
            <w:pPr>
              <w:widowControl w:val="0"/>
              <w:kinsoku/>
              <w:spacing w:line="240" w:lineRule="atLeast"/>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室内电气插座、开关</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07089CC">
            <w:pPr>
              <w:widowControl w:val="0"/>
              <w:kinsoku/>
              <w:spacing w:line="240" w:lineRule="atLeast"/>
              <w:textAlignment w:val="auto"/>
              <w:rPr>
                <w:rFonts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lang w:eastAsia="zh-CN"/>
              </w:rPr>
              <w:t>正泰、公牛、豪意。或不低于同等档次品牌。</w:t>
            </w:r>
          </w:p>
        </w:tc>
      </w:tr>
      <w:tr w14:paraId="53527808">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4D6FDBC">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8</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E3BF944">
            <w:pPr>
              <w:widowControl w:val="0"/>
              <w:kinsoku/>
              <w:spacing w:line="240" w:lineRule="atLeast"/>
              <w:textAlignment w:val="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室内灯具（不含消防照明灯具）</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566D0A5">
            <w:pPr>
              <w:widowControl w:val="0"/>
              <w:kinsoku/>
              <w:spacing w:line="240" w:lineRule="atLeast"/>
              <w:textAlignment w:val="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欧普、</w:t>
            </w:r>
            <w:r>
              <w:rPr>
                <w:rFonts w:hint="eastAsia" w:ascii="仿宋" w:hAnsi="仿宋" w:eastAsia="仿宋" w:cs="仿宋"/>
                <w:color w:val="auto"/>
                <w:sz w:val="24"/>
                <w:highlight w:val="none"/>
                <w:lang w:val="en-US" w:eastAsia="zh-CN"/>
              </w:rPr>
              <w:t>阳光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TCL</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eastAsia="zh-CN"/>
              </w:rPr>
              <w:t>或不低于同等档次品牌。</w:t>
            </w:r>
          </w:p>
        </w:tc>
      </w:tr>
      <w:tr w14:paraId="3EE5B635">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FE9A173">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9</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5A0846A">
            <w:pPr>
              <w:widowControl w:val="0"/>
              <w:kinsoku/>
              <w:spacing w:line="240" w:lineRule="atLeast"/>
              <w:textAlignment w:val="auto"/>
              <w:rPr>
                <w:rFonts w:ascii="仿宋" w:hAnsi="仿宋" w:eastAsia="仿宋" w:cs="仿宋"/>
                <w:snapToGrid w:val="0"/>
                <w:color w:val="auto"/>
                <w:sz w:val="24"/>
                <w:szCs w:val="21"/>
                <w:highlight w:val="none"/>
                <w:lang w:val="zh-CN" w:eastAsia="zh-CN" w:bidi="ar-SA"/>
              </w:rPr>
            </w:pPr>
            <w:r>
              <w:rPr>
                <w:rFonts w:hint="eastAsia" w:ascii="仿宋" w:hAnsi="仿宋" w:eastAsia="仿宋" w:cs="仿宋"/>
                <w:color w:val="auto"/>
                <w:sz w:val="24"/>
                <w:highlight w:val="none"/>
                <w:lang w:val="zh-CN"/>
              </w:rPr>
              <w:t>电线、电缆</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6463CFD">
            <w:pPr>
              <w:widowControl w:val="0"/>
              <w:kinsoku/>
              <w:spacing w:line="240" w:lineRule="atLeast"/>
              <w:textAlignment w:val="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正泰、</w:t>
            </w:r>
            <w:r>
              <w:rPr>
                <w:rFonts w:hint="eastAsia" w:ascii="仿宋" w:hAnsi="仿宋" w:eastAsia="仿宋" w:cs="仿宋"/>
                <w:color w:val="auto"/>
                <w:sz w:val="24"/>
                <w:highlight w:val="none"/>
                <w:lang w:val="en-US" w:eastAsia="zh-CN"/>
              </w:rPr>
              <w:t>江南</w:t>
            </w:r>
            <w:r>
              <w:rPr>
                <w:rFonts w:hint="eastAsia" w:ascii="仿宋" w:hAnsi="仿宋" w:eastAsia="仿宋" w:cs="仿宋"/>
                <w:color w:val="auto"/>
                <w:sz w:val="24"/>
                <w:highlight w:val="none"/>
                <w:lang w:eastAsia="zh-CN"/>
              </w:rPr>
              <w:t>、绿宝</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eastAsia="zh-CN"/>
              </w:rPr>
              <w:t>或不低于同等档次品牌。</w:t>
            </w:r>
          </w:p>
        </w:tc>
      </w:tr>
      <w:tr w14:paraId="2F544D90">
        <w:tblPrEx>
          <w:tblCellMar>
            <w:top w:w="0" w:type="dxa"/>
            <w:left w:w="108" w:type="dxa"/>
            <w:bottom w:w="0" w:type="dxa"/>
            <w:right w:w="108" w:type="dxa"/>
          </w:tblCellMar>
        </w:tblPrEx>
        <w:trPr>
          <w:trHeight w:val="580"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2010FA1">
            <w:pPr>
              <w:widowControl w:val="0"/>
              <w:tabs>
                <w:tab w:val="left" w:pos="600"/>
              </w:tabs>
              <w:kinsoku/>
              <w:spacing w:line="240" w:lineRule="atLeast"/>
              <w:jc w:val="center"/>
              <w:textAlignment w:val="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10</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71F0EED">
            <w:pPr>
              <w:widowControl w:val="0"/>
              <w:kinsoku/>
              <w:spacing w:line="240" w:lineRule="atLeas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网线</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6F8BFB7">
            <w:pPr>
              <w:widowControl w:val="0"/>
              <w:kinsoku/>
              <w:spacing w:line="240" w:lineRule="atLeas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安普天诚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海康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正泰</w:t>
            </w:r>
            <w:r>
              <w:rPr>
                <w:rFonts w:hint="eastAsia" w:ascii="仿宋" w:hAnsi="仿宋" w:eastAsia="仿宋" w:cs="仿宋"/>
                <w:color w:val="auto"/>
                <w:sz w:val="24"/>
                <w:highlight w:val="none"/>
                <w:lang w:eastAsia="zh-CN"/>
              </w:rPr>
              <w:t>或不低于同等档次品牌。</w:t>
            </w:r>
          </w:p>
        </w:tc>
      </w:tr>
      <w:tr w14:paraId="0EF58C3A">
        <w:tblPrEx>
          <w:tblCellMar>
            <w:top w:w="0" w:type="dxa"/>
            <w:left w:w="108" w:type="dxa"/>
            <w:bottom w:w="0" w:type="dxa"/>
            <w:right w:w="108" w:type="dxa"/>
          </w:tblCellMar>
        </w:tblPrEx>
        <w:trPr>
          <w:trHeight w:val="284" w:hRule="atLeast"/>
          <w:jc w:val="center"/>
        </w:trPr>
        <w:tc>
          <w:tcPr>
            <w:tcW w:w="73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17B178">
            <w:pPr>
              <w:widowControl w:val="0"/>
              <w:tabs>
                <w:tab w:val="left" w:pos="600"/>
              </w:tabs>
              <w:kinsoku/>
              <w:spacing w:line="240" w:lineRule="atLeas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265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4202CA6">
            <w:pPr>
              <w:widowControl w:val="0"/>
              <w:kinsoku/>
              <w:spacing w:line="240" w:lineRule="atLeast"/>
              <w:textAlignment w:val="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木门</w:t>
            </w:r>
          </w:p>
        </w:tc>
        <w:tc>
          <w:tcPr>
            <w:tcW w:w="724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39A59FA">
            <w:pPr>
              <w:widowControl w:val="0"/>
              <w:kinsoku/>
              <w:spacing w:line="240" w:lineRule="atLeast"/>
              <w:textAlignment w:val="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福临门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品尚豪门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兴福木门</w:t>
            </w:r>
            <w:r>
              <w:rPr>
                <w:rFonts w:hint="eastAsia" w:ascii="仿宋" w:hAnsi="仿宋" w:eastAsia="仿宋" w:cs="仿宋"/>
                <w:color w:val="auto"/>
                <w:sz w:val="24"/>
                <w:highlight w:val="none"/>
                <w:lang w:eastAsia="zh-CN"/>
              </w:rPr>
              <w:t>。或不低于同等档次品牌。</w:t>
            </w:r>
          </w:p>
        </w:tc>
      </w:tr>
      <w:tr w14:paraId="1295D1D4">
        <w:tblPrEx>
          <w:tblCellMar>
            <w:top w:w="0" w:type="dxa"/>
            <w:left w:w="108" w:type="dxa"/>
            <w:bottom w:w="0" w:type="dxa"/>
            <w:right w:w="108" w:type="dxa"/>
          </w:tblCellMar>
        </w:tblPrEx>
        <w:trPr>
          <w:trHeight w:val="284" w:hRule="atLeast"/>
          <w:jc w:val="center"/>
        </w:trPr>
        <w:tc>
          <w:tcPr>
            <w:tcW w:w="10636"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14:paraId="74FAE7EA">
            <w:pPr>
              <w:pStyle w:val="2"/>
              <w:ind w:firstLine="0" w:firstLineChars="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p w14:paraId="5AD01C75">
            <w:pPr>
              <w:pStyle w:val="2"/>
              <w:spacing w:line="360" w:lineRule="auto"/>
              <w:ind w:firstLine="48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1、本项目《发包人质控材料一览表》中的推荐产品设备厂家范围为参考品牌，不具有限制性和排他性。</w:t>
            </w:r>
          </w:p>
          <w:p w14:paraId="3040CCC5">
            <w:pPr>
              <w:widowControl w:val="0"/>
              <w:kinsoku/>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eastAsia="zh-CN"/>
              </w:rPr>
              <w:t>2、中标施工总承包单位可选用推荐品牌或经招标人同意后提供优于或相当于《发包人质控材料一览表》中推荐产品外的其他产品(提交相关产品标准、技术参数、检测报告等满足本项目设计及验收要求的相关资料)。该产品进场后，由监理等单位按照规范抽样送检合格后，即可投入本项目使用。</w:t>
            </w:r>
          </w:p>
        </w:tc>
      </w:tr>
    </w:tbl>
    <w:p w14:paraId="35BD2E96">
      <w:pPr>
        <w:spacing w:line="360" w:lineRule="auto"/>
        <w:jc w:val="center"/>
        <w:rPr>
          <w:rFonts w:ascii="仿宋" w:hAnsi="仿宋" w:eastAsia="仿宋" w:cs="仿宋"/>
          <w:b/>
          <w:color w:val="auto"/>
          <w:sz w:val="24"/>
          <w:highlight w:val="none"/>
          <w:lang w:val="zh-CN" w:eastAsia="zh-CN"/>
        </w:rPr>
      </w:pPr>
    </w:p>
    <w:p w14:paraId="1185B5A0">
      <w:pPr>
        <w:spacing w:line="360" w:lineRule="auto"/>
        <w:rPr>
          <w:rFonts w:ascii="仿宋" w:hAnsi="仿宋" w:eastAsia="仿宋" w:cs="仿宋"/>
          <w:b/>
          <w:color w:val="auto"/>
          <w:sz w:val="32"/>
          <w:szCs w:val="32"/>
          <w:highlight w:val="none"/>
          <w:lang w:val="zh-CN" w:eastAsia="zh-CN"/>
        </w:rPr>
      </w:pPr>
    </w:p>
    <w:p w14:paraId="345B7E39">
      <w:pPr>
        <w:pStyle w:val="2"/>
        <w:rPr>
          <w:rFonts w:ascii="仿宋" w:hAnsi="仿宋" w:eastAsia="仿宋" w:cs="仿宋"/>
          <w:b/>
          <w:color w:val="auto"/>
          <w:sz w:val="32"/>
          <w:szCs w:val="32"/>
          <w:highlight w:val="none"/>
          <w:lang w:val="zh-CN" w:eastAsia="zh-CN"/>
        </w:rPr>
      </w:pPr>
    </w:p>
    <w:p w14:paraId="0BCEA9D4">
      <w:pPr>
        <w:pStyle w:val="5"/>
        <w:rPr>
          <w:rFonts w:ascii="仿宋" w:hAnsi="仿宋" w:eastAsia="仿宋" w:cs="仿宋"/>
          <w:b/>
          <w:color w:val="auto"/>
          <w:sz w:val="32"/>
          <w:szCs w:val="32"/>
          <w:highlight w:val="none"/>
          <w:lang w:val="zh-CN" w:eastAsia="zh-CN"/>
        </w:rPr>
      </w:pPr>
    </w:p>
    <w:p w14:paraId="5D3F40FE">
      <w:pPr>
        <w:rPr>
          <w:rFonts w:ascii="仿宋" w:hAnsi="仿宋" w:eastAsia="仿宋" w:cs="仿宋"/>
          <w:b/>
          <w:color w:val="auto"/>
          <w:sz w:val="32"/>
          <w:szCs w:val="32"/>
          <w:highlight w:val="none"/>
          <w:lang w:val="zh-CN" w:eastAsia="zh-CN"/>
        </w:rPr>
      </w:pPr>
    </w:p>
    <w:p w14:paraId="4BA3A221">
      <w:pPr>
        <w:pStyle w:val="2"/>
        <w:rPr>
          <w:rFonts w:ascii="仿宋" w:hAnsi="仿宋" w:eastAsia="仿宋" w:cs="仿宋"/>
          <w:b/>
          <w:color w:val="auto"/>
          <w:sz w:val="32"/>
          <w:szCs w:val="32"/>
          <w:highlight w:val="none"/>
          <w:lang w:val="zh-CN" w:eastAsia="zh-CN"/>
        </w:rPr>
      </w:pPr>
    </w:p>
    <w:p w14:paraId="2BBAB6DB">
      <w:pPr>
        <w:pStyle w:val="5"/>
        <w:rPr>
          <w:rFonts w:ascii="仿宋" w:hAnsi="仿宋" w:eastAsia="仿宋" w:cs="仿宋"/>
          <w:b/>
          <w:color w:val="auto"/>
          <w:sz w:val="32"/>
          <w:szCs w:val="32"/>
          <w:highlight w:val="none"/>
          <w:lang w:val="zh-CN" w:eastAsia="zh-CN"/>
        </w:rPr>
      </w:pPr>
    </w:p>
    <w:p w14:paraId="012548FA">
      <w:pPr>
        <w:rPr>
          <w:rFonts w:ascii="仿宋" w:hAnsi="仿宋" w:eastAsia="仿宋" w:cs="仿宋"/>
          <w:b/>
          <w:color w:val="auto"/>
          <w:sz w:val="32"/>
          <w:szCs w:val="32"/>
          <w:highlight w:val="none"/>
          <w:lang w:val="zh-CN" w:eastAsia="zh-CN"/>
        </w:rPr>
      </w:pPr>
    </w:p>
    <w:p w14:paraId="2F3D896D">
      <w:pPr>
        <w:pStyle w:val="2"/>
        <w:rPr>
          <w:rFonts w:ascii="仿宋" w:hAnsi="仿宋" w:eastAsia="仿宋" w:cs="仿宋"/>
          <w:b/>
          <w:color w:val="auto"/>
          <w:sz w:val="32"/>
          <w:szCs w:val="32"/>
          <w:highlight w:val="none"/>
          <w:lang w:val="zh-CN" w:eastAsia="zh-CN"/>
        </w:rPr>
      </w:pPr>
    </w:p>
    <w:p w14:paraId="556500B3">
      <w:pPr>
        <w:pStyle w:val="5"/>
        <w:rPr>
          <w:rFonts w:ascii="仿宋" w:hAnsi="仿宋" w:eastAsia="仿宋" w:cs="仿宋"/>
          <w:b/>
          <w:color w:val="auto"/>
          <w:sz w:val="32"/>
          <w:szCs w:val="32"/>
          <w:highlight w:val="none"/>
          <w:lang w:val="zh-CN" w:eastAsia="zh-CN"/>
        </w:rPr>
      </w:pPr>
    </w:p>
    <w:p w14:paraId="472F1277">
      <w:pPr>
        <w:rPr>
          <w:rFonts w:ascii="仿宋" w:hAnsi="仿宋" w:eastAsia="仿宋" w:cs="仿宋"/>
          <w:b/>
          <w:color w:val="auto"/>
          <w:sz w:val="32"/>
          <w:szCs w:val="32"/>
          <w:highlight w:val="none"/>
          <w:lang w:val="zh-CN" w:eastAsia="zh-CN"/>
        </w:rPr>
      </w:pPr>
    </w:p>
    <w:p w14:paraId="5C8D3F4C">
      <w:pPr>
        <w:pStyle w:val="2"/>
        <w:spacing w:line="360" w:lineRule="auto"/>
        <w:ind w:firstLine="480"/>
        <w:rPr>
          <w:rFonts w:ascii="仿宋" w:hAnsi="仿宋" w:eastAsia="仿宋" w:cs="仿宋"/>
          <w:color w:val="auto"/>
          <w:szCs w:val="21"/>
          <w:highlight w:val="none"/>
          <w:lang w:eastAsia="zh-CN"/>
        </w:rPr>
      </w:pPr>
      <w:r>
        <w:rPr>
          <w:rFonts w:hint="eastAsia" w:ascii="仿宋" w:hAnsi="仿宋" w:eastAsia="仿宋" w:cs="仿宋"/>
          <w:b/>
          <w:bCs w:val="0"/>
          <w:color w:val="auto"/>
          <w:sz w:val="24"/>
          <w:szCs w:val="24"/>
          <w:highlight w:val="none"/>
          <w:lang w:eastAsia="zh-CN"/>
        </w:rPr>
        <w:t>投标人必须在投标文件中作出书面承诺</w:t>
      </w:r>
      <w:r>
        <w:rPr>
          <w:rFonts w:hint="eastAsia" w:ascii="仿宋" w:hAnsi="仿宋" w:eastAsia="仿宋" w:cs="仿宋"/>
          <w:color w:val="auto"/>
          <w:sz w:val="24"/>
          <w:szCs w:val="24"/>
          <w:highlight w:val="none"/>
          <w:lang w:eastAsia="zh-CN"/>
        </w:rPr>
        <w:t>，</w:t>
      </w:r>
      <w:r>
        <w:rPr>
          <w:rFonts w:hint="eastAsia" w:ascii="仿宋" w:hAnsi="仿宋" w:eastAsia="仿宋" w:cs="仿宋"/>
          <w:color w:val="FF0000"/>
          <w:sz w:val="24"/>
          <w:szCs w:val="24"/>
          <w:highlight w:val="none"/>
          <w:u w:val="none"/>
          <w:lang w:eastAsia="zh-CN"/>
        </w:rPr>
        <w:t>承诺“我单位承诺如下:在施工阶段将严格按照招标文件《发包人质控材料一览表》中规定的厂家、品牌范围选择设备或者材料进行采购供货或经招标人同意后提供优于或相当于《发包人质控材料一览表》中推荐产品外的其他产品。否则发包人及监理单位有权禁止设备、材料入场，我单位承担由此引发的一切责任和损失”</w:t>
      </w:r>
    </w:p>
    <w:p w14:paraId="1CEF9AA7">
      <w:pPr>
        <w:pStyle w:val="2"/>
        <w:spacing w:line="360" w:lineRule="auto"/>
        <w:ind w:firstLine="480"/>
        <w:rPr>
          <w:rFonts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备注：</w:t>
      </w:r>
      <w:r>
        <w:rPr>
          <w:rFonts w:hint="eastAsia" w:ascii="仿宋" w:hAnsi="仿宋" w:eastAsia="仿宋" w:cs="仿宋"/>
          <w:color w:val="auto"/>
          <w:sz w:val="24"/>
          <w:szCs w:val="24"/>
          <w:highlight w:val="none"/>
          <w:lang w:val="zh-CN" w:eastAsia="zh-CN"/>
        </w:rPr>
        <w:t>质控材料的规格、型号和质量等级指标应符合设计图纸和国家现行规范标准要求。采购材料须提供厂家出厂验收报告及合格证，严禁采用假冒伪劣产品。中标人不得随意更换其它品牌。根据材料市场状况及实际采购使用情况，本质控材料表原则上每年更新一次。确因品牌材料质量不合格（假冒伪劣）、服务（不配合、态度恶劣）、供货（不及时）、哄抬物价等情况，一经发现，即刻清除质控材料品牌库。</w:t>
      </w:r>
    </w:p>
    <w:p w14:paraId="604F9BA4"/>
    <w:p w14:paraId="1554D45F">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8930847">
      <w:pPr>
        <w:spacing w:line="360" w:lineRule="auto"/>
        <w:ind w:firstLine="594" w:firstLineChars="200"/>
        <w:jc w:val="center"/>
        <w:rPr>
          <w:rFonts w:hint="eastAsia" w:ascii="仿宋" w:hAnsi="仿宋" w:eastAsia="仿宋" w:cs="仿宋"/>
          <w:b/>
          <w:bCs/>
          <w:color w:val="333333"/>
          <w:spacing w:val="8"/>
          <w:kern w:val="0"/>
          <w:sz w:val="28"/>
          <w:szCs w:val="28"/>
          <w:highlight w:val="none"/>
          <w:shd w:val="clear" w:color="auto" w:fill="FFFFFF"/>
        </w:rPr>
      </w:pPr>
      <w:r>
        <w:rPr>
          <w:rFonts w:hint="eastAsia" w:ascii="仿宋" w:hAnsi="仿宋" w:eastAsia="仿宋" w:cs="仿宋"/>
          <w:b/>
          <w:bCs/>
          <w:color w:val="333333"/>
          <w:spacing w:val="8"/>
          <w:kern w:val="0"/>
          <w:sz w:val="28"/>
          <w:szCs w:val="28"/>
          <w:highlight w:val="none"/>
          <w:shd w:val="clear" w:color="auto" w:fill="FFFFFF"/>
        </w:rPr>
        <w:t>履约保函示范文本</w:t>
      </w:r>
    </w:p>
    <w:p w14:paraId="2BDD90F0">
      <w:pPr>
        <w:widowControl/>
        <w:shd w:val="clear" w:color="auto" w:fill="FFFFFF"/>
        <w:spacing w:line="360" w:lineRule="auto"/>
        <w:ind w:firstLine="594" w:firstLineChars="200"/>
        <w:jc w:val="center"/>
        <w:rPr>
          <w:rFonts w:hint="eastAsia" w:ascii="仿宋" w:hAnsi="仿宋" w:eastAsia="仿宋" w:cs="仿宋"/>
          <w:b/>
          <w:bCs/>
          <w:color w:val="333333"/>
          <w:spacing w:val="8"/>
          <w:kern w:val="0"/>
          <w:sz w:val="28"/>
          <w:szCs w:val="28"/>
          <w:highlight w:val="none"/>
          <w:shd w:val="clear" w:color="auto" w:fill="FFFFFF"/>
        </w:rPr>
      </w:pPr>
      <w:r>
        <w:rPr>
          <w:rFonts w:hint="eastAsia" w:ascii="仿宋" w:hAnsi="仿宋" w:eastAsia="仿宋" w:cs="仿宋"/>
          <w:b/>
          <w:bCs/>
          <w:color w:val="333333"/>
          <w:spacing w:val="8"/>
          <w:kern w:val="0"/>
          <w:sz w:val="28"/>
          <w:szCs w:val="28"/>
          <w:highlight w:val="none"/>
          <w:shd w:val="clear" w:color="auto" w:fill="FFFFFF"/>
        </w:rPr>
        <w:t>（电子或纸质保函）</w:t>
      </w:r>
    </w:p>
    <w:p w14:paraId="1123AAED">
      <w:pPr>
        <w:widowControl/>
        <w:shd w:val="clear" w:color="auto" w:fill="FFFFFF"/>
        <w:spacing w:line="360" w:lineRule="auto"/>
        <w:ind w:firstLine="592" w:firstLineChars="200"/>
        <w:jc w:val="right"/>
        <w:rPr>
          <w:rFonts w:hint="eastAsia" w:ascii="仿宋" w:hAnsi="仿宋" w:eastAsia="仿宋" w:cs="仿宋"/>
          <w:color w:val="333333"/>
          <w:spacing w:val="8"/>
          <w:kern w:val="0"/>
          <w:sz w:val="28"/>
          <w:szCs w:val="28"/>
          <w:highlight w:val="none"/>
          <w:shd w:val="clear" w:color="auto" w:fill="FFFFFF"/>
        </w:rPr>
      </w:pPr>
      <w:r>
        <w:rPr>
          <w:rFonts w:hint="eastAsia" w:ascii="仿宋" w:hAnsi="仿宋" w:eastAsia="仿宋" w:cs="仿宋"/>
          <w:color w:val="333333"/>
          <w:spacing w:val="8"/>
          <w:kern w:val="0"/>
          <w:sz w:val="28"/>
          <w:szCs w:val="28"/>
          <w:highlight w:val="none"/>
          <w:shd w:val="clear" w:color="auto" w:fill="FFFFFF"/>
        </w:rPr>
        <w:t>编号：XXXXXX</w:t>
      </w:r>
    </w:p>
    <w:p w14:paraId="269A9D42">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申请人：XXXXXX</w:t>
      </w:r>
    </w:p>
    <w:p w14:paraId="01CBCD06">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地址：XXXXXX</w:t>
      </w:r>
    </w:p>
    <w:p w14:paraId="12DB0434">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受益人：XXXXXX</w:t>
      </w:r>
    </w:p>
    <w:p w14:paraId="5667299A">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地址：XXXXXX</w:t>
      </w:r>
    </w:p>
    <w:p w14:paraId="40F202C6">
      <w:pPr>
        <w:widowControl/>
        <w:shd w:val="clear" w:color="auto" w:fill="FFFFFF"/>
        <w:spacing w:line="360" w:lineRule="auto"/>
        <w:ind w:firstLine="592" w:firstLineChars="200"/>
        <w:jc w:val="left"/>
        <w:rPr>
          <w:rFonts w:hint="eastAsia" w:ascii="仿宋" w:hAnsi="仿宋" w:eastAsia="仿宋" w:cs="仿宋"/>
          <w:color w:val="333333"/>
          <w:spacing w:val="8"/>
          <w:kern w:val="0"/>
          <w:sz w:val="28"/>
          <w:szCs w:val="28"/>
          <w:highlight w:val="none"/>
          <w:shd w:val="clear" w:color="auto" w:fill="FFFFFF"/>
        </w:rPr>
      </w:pPr>
      <w:r>
        <w:rPr>
          <w:rFonts w:hint="eastAsia" w:ascii="仿宋" w:hAnsi="仿宋" w:eastAsia="仿宋" w:cs="仿宋"/>
          <w:color w:val="333333"/>
          <w:spacing w:val="8"/>
          <w:kern w:val="0"/>
          <w:sz w:val="28"/>
          <w:szCs w:val="28"/>
          <w:highlight w:val="none"/>
          <w:shd w:val="clear" w:color="auto" w:fill="FFFFFF"/>
        </w:rPr>
        <w:t>开立人：XXXXXX</w:t>
      </w:r>
    </w:p>
    <w:p w14:paraId="35459AFC">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地址：XXXXXX</w:t>
      </w:r>
    </w:p>
    <w:p w14:paraId="6F623DAE">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XXXXXX（受益人名称）：</w:t>
      </w:r>
    </w:p>
    <w:p w14:paraId="2B9A48B2">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鉴于XXXXXX（以下简称“受益人”）与XXXXXX（以下简称“申请人”）于XXXXXX年XXXXXX月XXXXXX日就XXXXXX工程（以下简称“本工程”）施工和有关事项协商一致共同签订《XXXXXX 》（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3E337F4F">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一、本保函担保范围：承包人未按照基础合同的约定履行义务，应当向贵方承担的违约责任和赔偿因此造成的损失、利息、律师费、诉讼费用等实现债权的费用。</w:t>
      </w:r>
    </w:p>
    <w:p w14:paraId="5470119A">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二、本保函担保金额最高不超过人民币（大写）XXXXXX元（¥XXXXXX）。</w:t>
      </w:r>
    </w:p>
    <w:p w14:paraId="5F182B24">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三、本保函有效期自开立之日起至基础合同约定的缺陷责任期后XXXXXX日止，最迟不超过XXXXXX年XXXXXX月XXXXXX日。</w:t>
      </w:r>
    </w:p>
    <w:p w14:paraId="3D6E3F32">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四、我方承诺，在收到受益人发来的书面付款通知后的XXXXXX日内无条件支付，前述书面付款通知即为付款要求之单据，且应满足以下要求：</w:t>
      </w:r>
    </w:p>
    <w:p w14:paraId="70D1FA10">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（1）付款通知到达的日期在本保函的有效期内；</w:t>
      </w:r>
    </w:p>
    <w:p w14:paraId="46F2DA77">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（2）载明要求支付的金额；</w:t>
      </w:r>
    </w:p>
    <w:p w14:paraId="71F24249">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（3）载明申请人违反合同义务的条款和内容；</w:t>
      </w:r>
    </w:p>
    <w:p w14:paraId="37F78530">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（4）声明不存在合同文件约定或我国法律规定免除申请人或开立人支付责任的情形；</w:t>
      </w:r>
    </w:p>
    <w:p w14:paraId="3A7238E1">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（5）付款通知应在本保函有效期内到达的地址是：XXXXXX。</w:t>
      </w:r>
    </w:p>
    <w:p w14:paraId="03FC95F9">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受益人发出的书面付款通知应由其为鉴明受益人法定代表人（负责人）或授权代理人签字并加盖公章。</w:t>
      </w:r>
    </w:p>
    <w:p w14:paraId="0268C735">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五、本保函项下的权利不得转让，不得设定担保。贵方未经我方书面同意转让本保函或其项下任何权利，对我方不发生法律效力。</w:t>
      </w:r>
    </w:p>
    <w:p w14:paraId="5EB459DE">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六、与本保函有关的基础合同不成立、不生效、无效、被撤销、被解除，不影响本保函的独立有效。</w:t>
      </w:r>
    </w:p>
    <w:p w14:paraId="5F31443D">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七、贵方应在本保函到期后的七日内将本保函正本退回我方注销，但是不论贵方是否按此要求将本保函正本退回我方，我方在本保函项下的义务和责任均在保函有效期到期后自动消灭。</w:t>
      </w:r>
    </w:p>
    <w:p w14:paraId="5358BEDC">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八、本保函适用的法律为中华人民共和国法律，争议裁判管辖地为淮南市行政区域内XXXXXX</w:t>
      </w:r>
      <w:r>
        <w:rPr>
          <w:rFonts w:hint="eastAsia" w:ascii="仿宋" w:hAnsi="仿宋" w:eastAsia="仿宋" w:cs="仿宋"/>
          <w:spacing w:val="8"/>
          <w:kern w:val="0"/>
          <w:sz w:val="28"/>
          <w:szCs w:val="28"/>
          <w:highlight w:val="none"/>
          <w:shd w:val="clear" w:color="auto" w:fill="FFFFFF"/>
        </w:rPr>
        <w:t>法院。</w:t>
      </w:r>
    </w:p>
    <w:p w14:paraId="5997D676">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九、本保函自我方法定代表人或授权代表签字并加盖公章之日起生效。</w:t>
      </w:r>
    </w:p>
    <w:p w14:paraId="072BEE63">
      <w:pPr>
        <w:widowControl/>
        <w:shd w:val="clear" w:color="auto" w:fill="FFFFFF"/>
        <w:spacing w:line="360" w:lineRule="auto"/>
        <w:ind w:firstLine="592" w:firstLineChars="200"/>
        <w:jc w:val="left"/>
        <w:rPr>
          <w:rFonts w:hint="eastAsia" w:ascii="仿宋" w:hAnsi="仿宋" w:eastAsia="仿宋" w:cs="仿宋"/>
          <w:color w:val="333333"/>
          <w:spacing w:val="8"/>
          <w:kern w:val="0"/>
          <w:sz w:val="28"/>
          <w:szCs w:val="28"/>
          <w:highlight w:val="none"/>
          <w:shd w:val="clear" w:color="auto" w:fill="FFFFFF"/>
        </w:rPr>
      </w:pPr>
    </w:p>
    <w:p w14:paraId="008B7C6C">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开 立 人：XXXXXX（公章）</w:t>
      </w:r>
    </w:p>
    <w:p w14:paraId="6B88AB26">
      <w:pPr>
        <w:widowControl/>
        <w:shd w:val="clear" w:color="auto" w:fill="FFFFFF"/>
        <w:spacing w:line="360" w:lineRule="auto"/>
        <w:ind w:firstLine="592" w:firstLineChars="200"/>
        <w:jc w:val="left"/>
        <w:outlineLvl w:val="0"/>
        <w:rPr>
          <w:rFonts w:hint="eastAsia" w:ascii="仿宋" w:hAnsi="仿宋" w:eastAsia="仿宋" w:cs="仿宋"/>
          <w:color w:val="333333"/>
          <w:kern w:val="0"/>
          <w:sz w:val="28"/>
          <w:szCs w:val="28"/>
          <w:highlight w:val="none"/>
        </w:rPr>
      </w:pPr>
      <w:bookmarkStart w:id="1134" w:name="_Toc13560"/>
      <w:r>
        <w:rPr>
          <w:rFonts w:hint="eastAsia" w:ascii="仿宋" w:hAnsi="仿宋" w:eastAsia="仿宋" w:cs="仿宋"/>
          <w:color w:val="333333"/>
          <w:spacing w:val="8"/>
          <w:kern w:val="0"/>
          <w:sz w:val="28"/>
          <w:szCs w:val="28"/>
          <w:highlight w:val="none"/>
          <w:shd w:val="clear" w:color="auto" w:fill="FFFFFF"/>
        </w:rPr>
        <w:t>法定代表人（或授权代表）：XXXXXX（签字）</w:t>
      </w:r>
      <w:bookmarkEnd w:id="1134"/>
    </w:p>
    <w:p w14:paraId="6C1EDBC9">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地    址：XXXXXX</w:t>
      </w:r>
    </w:p>
    <w:p w14:paraId="7A76A244">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邮政编码：XXXXXX</w:t>
      </w:r>
    </w:p>
    <w:p w14:paraId="16E20BCD">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电    话：XXXXXX</w:t>
      </w:r>
    </w:p>
    <w:p w14:paraId="5A58B417">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传    真：XXXXXX</w:t>
      </w:r>
    </w:p>
    <w:p w14:paraId="70DDAE7B">
      <w:pPr>
        <w:widowControl/>
        <w:shd w:val="clear" w:color="auto" w:fill="FFFFFF"/>
        <w:spacing w:line="360" w:lineRule="auto"/>
        <w:ind w:firstLine="592" w:firstLineChars="200"/>
        <w:jc w:val="left"/>
        <w:rPr>
          <w:rFonts w:hint="eastAsia" w:ascii="仿宋" w:hAnsi="仿宋" w:eastAsia="仿宋" w:cs="仿宋"/>
          <w:color w:val="333333"/>
          <w:kern w:val="0"/>
          <w:sz w:val="28"/>
          <w:szCs w:val="28"/>
          <w:highlight w:val="none"/>
        </w:rPr>
      </w:pPr>
      <w:r>
        <w:rPr>
          <w:rFonts w:hint="eastAsia" w:ascii="仿宋" w:hAnsi="仿宋" w:eastAsia="仿宋" w:cs="仿宋"/>
          <w:color w:val="333333"/>
          <w:spacing w:val="8"/>
          <w:kern w:val="0"/>
          <w:sz w:val="28"/>
          <w:szCs w:val="28"/>
          <w:highlight w:val="none"/>
          <w:shd w:val="clear" w:color="auto" w:fill="FFFFFF"/>
        </w:rPr>
        <w:t>开立时间：XXXXXX年XXXXXX月XXXXXX</w:t>
      </w:r>
    </w:p>
    <w:p w14:paraId="2BF3CA18">
      <w:pPr>
        <w:spacing w:line="360" w:lineRule="auto"/>
        <w:rPr>
          <w:rFonts w:hint="eastAsia" w:ascii="仿宋" w:hAnsi="仿宋" w:eastAsia="仿宋" w:cs="仿宋"/>
          <w:sz w:val="28"/>
          <w:szCs w:val="28"/>
          <w:highlight w:val="none"/>
        </w:rPr>
      </w:pPr>
    </w:p>
    <w:p w14:paraId="4A675196">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提醒事项：</w:t>
      </w:r>
    </w:p>
    <w:p w14:paraId="424676E7">
      <w:pPr>
        <w:numPr>
          <w:ilvl w:val="0"/>
          <w:numId w:val="11"/>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本保函为不可撤销、不可转让的见索即付独立保函。本保函有效期自开立之日起至投标有效期届满之日止。</w:t>
      </w:r>
    </w:p>
    <w:p w14:paraId="0016AF49">
      <w:pPr>
        <w:numPr>
          <w:ilvl w:val="0"/>
          <w:numId w:val="11"/>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开立人承诺，在收到受益人发来的书面付款通知后的七日内无条件支付，且应满足以下要求：（1）付款通知到达的日期在本保函的有效期内；（2）载明要求支付的金额；（3）载明申请人违反招投标文件规定的义务内容和具体条款；（4）声明不存在招标文件规定或我国法律规定免除申请人或我方支付责任的情形；（5）书面付款通知应在本保函有效期内到达的地址是：</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2637464">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三、本保函自我方法定代表人或授权代表签字并加盖公章之日起生效。</w:t>
      </w:r>
    </w:p>
    <w:p w14:paraId="2CC893F9">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 允许投标人实际开具的银行保函或担保机构或保证保险机构出具的担保的格式与本文件提供的格式有所不同，但不得更改本文件提供的银行保函或担保格式中的实质性内容。</w:t>
      </w:r>
    </w:p>
    <w:p w14:paraId="6940E97B">
      <w:pPr>
        <w:numPr>
          <w:ilvl w:val="0"/>
          <w:numId w:val="12"/>
        </w:num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投标人开具的银行保函（或担保机构担保或保证保险）必须具有明确有效的查询途径（网址链接及查询方式）。</w:t>
      </w:r>
    </w:p>
    <w:p w14:paraId="557D9F95">
      <w:pPr>
        <w:pStyle w:val="37"/>
        <w:jc w:val="both"/>
        <w:rPr>
          <w:rFonts w:hint="eastAsia" w:ascii="仿宋" w:hAnsi="仿宋" w:eastAsia="仿宋" w:cs="仿宋"/>
          <w:highlight w:val="none"/>
        </w:rPr>
      </w:pPr>
    </w:p>
    <w:p w14:paraId="70C74AD9">
      <w:pPr>
        <w:jc w:val="center"/>
        <w:rPr>
          <w:rFonts w:hint="eastAsia" w:ascii="仿宋" w:hAnsi="仿宋" w:eastAsia="仿宋" w:cs="仿宋"/>
          <w:b/>
          <w:bCs/>
          <w:sz w:val="28"/>
          <w:szCs w:val="28"/>
          <w:highlight w:val="none"/>
        </w:rPr>
      </w:pPr>
    </w:p>
    <w:p w14:paraId="15FE45AF">
      <w:pPr>
        <w:jc w:val="center"/>
        <w:rPr>
          <w:rFonts w:hint="eastAsia" w:ascii="仿宋" w:hAnsi="仿宋" w:eastAsia="仿宋" w:cs="仿宋"/>
          <w:b/>
          <w:bCs/>
          <w:sz w:val="28"/>
          <w:szCs w:val="28"/>
          <w:highlight w:val="none"/>
        </w:rPr>
      </w:pPr>
    </w:p>
    <w:p w14:paraId="07B5FC64">
      <w:pPr>
        <w:pStyle w:val="7"/>
        <w:bidi w:val="0"/>
        <w:jc w:val="center"/>
        <w:rPr>
          <w:rFonts w:hint="eastAsia" w:ascii="仿宋" w:hAnsi="仿宋" w:eastAsia="仿宋" w:cs="仿宋"/>
          <w:sz w:val="36"/>
          <w:szCs w:val="36"/>
          <w:highlight w:val="none"/>
          <w:lang w:val="en-US" w:eastAsia="zh-CN"/>
        </w:rPr>
      </w:pPr>
      <w:bookmarkStart w:id="1135" w:name="_Toc28661"/>
      <w:r>
        <w:rPr>
          <w:rFonts w:hint="eastAsia" w:ascii="仿宋" w:hAnsi="仿宋" w:eastAsia="仿宋" w:cs="仿宋"/>
          <w:sz w:val="36"/>
          <w:szCs w:val="36"/>
          <w:highlight w:val="none"/>
          <w:lang w:val="en-US" w:eastAsia="zh-CN"/>
        </w:rPr>
        <w:t xml:space="preserve">第七章 </w:t>
      </w:r>
      <w:bookmarkEnd w:id="1131"/>
      <w:bookmarkEnd w:id="1132"/>
      <w:r>
        <w:rPr>
          <w:rFonts w:hint="eastAsia" w:ascii="仿宋" w:hAnsi="仿宋" w:eastAsia="仿宋" w:cs="仿宋"/>
          <w:sz w:val="36"/>
          <w:szCs w:val="36"/>
          <w:highlight w:val="none"/>
          <w:lang w:val="en-US" w:eastAsia="zh-CN"/>
        </w:rPr>
        <w:t>磋商响应文件格式</w:t>
      </w:r>
      <w:bookmarkEnd w:id="1135"/>
    </w:p>
    <w:p w14:paraId="6D96E6FA">
      <w:pPr>
        <w:pStyle w:val="7"/>
        <w:outlineLvl w:val="9"/>
        <w:rPr>
          <w:rFonts w:hint="eastAsia" w:ascii="仿宋" w:hAnsi="仿宋" w:eastAsia="仿宋" w:cs="仿宋"/>
          <w:sz w:val="28"/>
          <w:szCs w:val="28"/>
          <w:highlight w:val="none"/>
        </w:rPr>
      </w:pPr>
    </w:p>
    <w:p w14:paraId="47BFE7FB">
      <w:pPr>
        <w:ind w:firstLine="560" w:firstLineChars="200"/>
        <w:jc w:val="center"/>
        <w:rPr>
          <w:rFonts w:hint="eastAsia" w:ascii="仿宋" w:hAnsi="仿宋" w:eastAsia="仿宋" w:cs="仿宋"/>
          <w:sz w:val="28"/>
          <w:szCs w:val="28"/>
          <w:highlight w:val="none"/>
        </w:rPr>
      </w:pPr>
      <w:bookmarkStart w:id="1136" w:name="1、投标函"/>
      <w:bookmarkEnd w:id="1136"/>
    </w:p>
    <w:p w14:paraId="6CB06E55">
      <w:pPr>
        <w:ind w:firstLine="560" w:firstLineChars="200"/>
        <w:jc w:val="center"/>
        <w:rPr>
          <w:rFonts w:hint="eastAsia" w:ascii="仿宋" w:hAnsi="仿宋" w:eastAsia="仿宋" w:cs="仿宋"/>
          <w:sz w:val="28"/>
          <w:szCs w:val="28"/>
          <w:highlight w:val="none"/>
        </w:rPr>
      </w:pPr>
    </w:p>
    <w:p w14:paraId="61128B78">
      <w:pPr>
        <w:keepNext w:val="0"/>
        <w:keepLines w:val="0"/>
        <w:widowControl/>
        <w:suppressLineNumbers w:val="0"/>
        <w:jc w:val="center"/>
        <w:rPr>
          <w:highlight w:val="none"/>
        </w:rPr>
      </w:pPr>
      <w:r>
        <w:rPr>
          <w:rFonts w:ascii="仿宋" w:hAnsi="仿宋" w:eastAsia="仿宋" w:cs="仿宋"/>
          <w:color w:val="000000"/>
          <w:kern w:val="0"/>
          <w:sz w:val="84"/>
          <w:szCs w:val="84"/>
          <w:highlight w:val="none"/>
          <w:lang w:val="en-US" w:eastAsia="zh-CN" w:bidi="ar"/>
        </w:rPr>
        <w:t>（填写项目名称）</w:t>
      </w:r>
    </w:p>
    <w:p w14:paraId="3300A785">
      <w:pPr>
        <w:keepNext w:val="0"/>
        <w:keepLines w:val="0"/>
        <w:widowControl/>
        <w:suppressLineNumbers w:val="0"/>
        <w:jc w:val="center"/>
        <w:rPr>
          <w:highlight w:val="none"/>
        </w:rPr>
      </w:pPr>
      <w:r>
        <w:rPr>
          <w:rFonts w:hint="eastAsia" w:ascii="仿宋" w:hAnsi="仿宋" w:eastAsia="仿宋" w:cs="仿宋"/>
          <w:color w:val="000000"/>
          <w:kern w:val="0"/>
          <w:sz w:val="72"/>
          <w:szCs w:val="72"/>
          <w:highlight w:val="none"/>
          <w:lang w:val="en-US" w:eastAsia="zh-CN" w:bidi="ar"/>
        </w:rPr>
        <w:t>响 应 文 件</w:t>
      </w:r>
    </w:p>
    <w:p w14:paraId="52E2CCC9">
      <w:pPr>
        <w:keepNext w:val="0"/>
        <w:keepLines w:val="0"/>
        <w:widowControl/>
        <w:suppressLineNumbers w:val="0"/>
        <w:jc w:val="center"/>
        <w:rPr>
          <w:highlight w:val="none"/>
        </w:rPr>
      </w:pPr>
      <w:r>
        <w:rPr>
          <w:rFonts w:hint="eastAsia" w:ascii="仿宋" w:hAnsi="仿宋" w:eastAsia="仿宋" w:cs="仿宋"/>
          <w:color w:val="000000"/>
          <w:kern w:val="0"/>
          <w:sz w:val="28"/>
          <w:szCs w:val="28"/>
          <w:highlight w:val="none"/>
          <w:lang w:val="en-US" w:eastAsia="zh-CN" w:bidi="ar"/>
        </w:rPr>
        <w:t>项目编号：</w:t>
      </w:r>
    </w:p>
    <w:p w14:paraId="2071E40B">
      <w:pPr>
        <w:pStyle w:val="6"/>
        <w:adjustRightInd w:val="0"/>
        <w:snapToGrid w:val="0"/>
        <w:spacing w:before="48" w:beforeLines="20" w:after="48" w:afterLines="20" w:line="360" w:lineRule="auto"/>
        <w:ind w:right="-4" w:rightChars="-2"/>
        <w:jc w:val="center"/>
        <w:rPr>
          <w:rFonts w:hint="eastAsia" w:ascii="仿宋" w:hAnsi="仿宋" w:eastAsia="仿宋" w:cs="仿宋"/>
          <w:sz w:val="28"/>
          <w:szCs w:val="28"/>
          <w:highlight w:val="none"/>
        </w:rPr>
      </w:pPr>
    </w:p>
    <w:p w14:paraId="0F91C066">
      <w:pPr>
        <w:pStyle w:val="6"/>
        <w:adjustRightInd w:val="0"/>
        <w:snapToGrid w:val="0"/>
        <w:spacing w:before="48" w:beforeLines="20" w:after="48" w:afterLines="20" w:line="360" w:lineRule="auto"/>
        <w:ind w:right="-4" w:rightChars="-2"/>
        <w:jc w:val="both"/>
        <w:rPr>
          <w:rFonts w:hint="eastAsia" w:ascii="仿宋" w:hAnsi="仿宋" w:eastAsia="仿宋" w:cs="仿宋"/>
          <w:sz w:val="28"/>
          <w:szCs w:val="28"/>
          <w:highlight w:val="none"/>
        </w:rPr>
      </w:pPr>
    </w:p>
    <w:p w14:paraId="46E8F7F2">
      <w:pPr>
        <w:pStyle w:val="20"/>
        <w:rPr>
          <w:rFonts w:hint="eastAsia" w:ascii="仿宋" w:hAnsi="仿宋" w:eastAsia="仿宋" w:cs="仿宋"/>
          <w:sz w:val="28"/>
          <w:szCs w:val="28"/>
          <w:highlight w:val="none"/>
        </w:rPr>
      </w:pPr>
    </w:p>
    <w:p w14:paraId="4C9F416F">
      <w:pPr>
        <w:rPr>
          <w:rFonts w:hint="eastAsia" w:ascii="仿宋" w:hAnsi="仿宋" w:eastAsia="仿宋" w:cs="仿宋"/>
          <w:sz w:val="28"/>
          <w:szCs w:val="28"/>
          <w:highlight w:val="none"/>
        </w:rPr>
      </w:pPr>
    </w:p>
    <w:p w14:paraId="38E45EDD">
      <w:pPr>
        <w:rPr>
          <w:rFonts w:hint="eastAsia" w:ascii="仿宋" w:hAnsi="仿宋" w:eastAsia="仿宋" w:cs="仿宋"/>
          <w:sz w:val="28"/>
          <w:szCs w:val="28"/>
          <w:highlight w:val="none"/>
        </w:rPr>
      </w:pPr>
    </w:p>
    <w:p w14:paraId="1B922816">
      <w:pPr>
        <w:rPr>
          <w:rFonts w:hint="eastAsia" w:ascii="仿宋" w:hAnsi="仿宋" w:eastAsia="仿宋" w:cs="仿宋"/>
          <w:sz w:val="28"/>
          <w:szCs w:val="28"/>
          <w:highlight w:val="none"/>
        </w:rPr>
      </w:pPr>
    </w:p>
    <w:p w14:paraId="2A41590B">
      <w:pPr>
        <w:pStyle w:val="6"/>
        <w:adjustRightInd w:val="0"/>
        <w:snapToGrid w:val="0"/>
        <w:spacing w:before="48" w:beforeLines="20" w:after="48" w:afterLines="20" w:line="360" w:lineRule="auto"/>
        <w:ind w:right="-4" w:rightChars="-2"/>
        <w:jc w:val="center"/>
        <w:rPr>
          <w:rFonts w:hint="eastAsia" w:ascii="仿宋" w:hAnsi="仿宋" w:eastAsia="仿宋" w:cs="仿宋"/>
          <w:sz w:val="28"/>
          <w:szCs w:val="28"/>
          <w:highlight w:val="none"/>
        </w:rPr>
      </w:pPr>
    </w:p>
    <w:p w14:paraId="1E2FD6AC">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p>
    <w:p w14:paraId="01F4D084">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响应文件内容：</w:t>
      </w:r>
      <w:r>
        <w:rPr>
          <w:rFonts w:hint="eastAsia" w:ascii="仿宋" w:hAnsi="仿宋" w:eastAsia="仿宋" w:cs="仿宋"/>
          <w:b/>
          <w:bCs/>
          <w:sz w:val="28"/>
          <w:szCs w:val="28"/>
          <w:highlight w:val="none"/>
          <w:u w:val="single"/>
        </w:rPr>
        <w:tab/>
      </w:r>
      <w:r>
        <w:rPr>
          <w:rFonts w:hint="eastAsia" w:ascii="仿宋" w:hAnsi="仿宋" w:eastAsia="仿宋" w:cs="仿宋"/>
          <w:b/>
          <w:bCs/>
          <w:sz w:val="28"/>
          <w:szCs w:val="28"/>
          <w:highlight w:val="none"/>
          <w:u w:val="single"/>
        </w:rPr>
        <w:t>商务标</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ab/>
      </w:r>
    </w:p>
    <w:p w14:paraId="5CCD208F">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供 应 商：</w:t>
      </w:r>
      <w:r>
        <w:rPr>
          <w:rFonts w:hint="eastAsia" w:ascii="仿宋" w:hAnsi="仿宋" w:eastAsia="仿宋" w:cs="仿宋"/>
          <w:b/>
          <w:bCs/>
          <w:sz w:val="28"/>
          <w:szCs w:val="28"/>
          <w:highlight w:val="none"/>
          <w:u w:val="single"/>
        </w:rPr>
        <w:t xml:space="preserve">            （盖章）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p>
    <w:p w14:paraId="1741D56A">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法定代表人或其委托代理人：</w:t>
      </w:r>
      <w:r>
        <w:rPr>
          <w:rFonts w:hint="eastAsia" w:ascii="仿宋" w:hAnsi="仿宋" w:eastAsia="仿宋" w:cs="仿宋"/>
          <w:b/>
          <w:bCs/>
          <w:sz w:val="28"/>
          <w:szCs w:val="28"/>
          <w:highlight w:val="none"/>
          <w:u w:val="single"/>
        </w:rPr>
        <w:t xml:space="preserve">   （签字或盖章）</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p>
    <w:p w14:paraId="4C1F8372">
      <w:pPr>
        <w:pStyle w:val="13"/>
        <w:adjustRightInd w:val="0"/>
        <w:snapToGrid w:val="0"/>
        <w:spacing w:before="48" w:beforeLines="20" w:after="48" w:afterLines="20" w:line="360" w:lineRule="auto"/>
        <w:ind w:left="143" w:leftChars="68" w:right="-4" w:rightChars="-2" w:firstLine="562" w:firstLineChars="200"/>
        <w:rPr>
          <w:rStyle w:val="41"/>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207A2C3E">
      <w:pPr>
        <w:rPr>
          <w:rStyle w:val="41"/>
          <w:rFonts w:hint="eastAsia" w:ascii="仿宋" w:hAnsi="仿宋" w:eastAsia="仿宋" w:cs="仿宋"/>
          <w:b/>
          <w:sz w:val="28"/>
          <w:szCs w:val="28"/>
          <w:highlight w:val="none"/>
        </w:rPr>
      </w:pPr>
    </w:p>
    <w:p w14:paraId="0A3ED360">
      <w:pPr>
        <w:ind w:firstLine="562" w:firstLineChars="200"/>
        <w:rPr>
          <w:rStyle w:val="41"/>
          <w:rFonts w:hint="eastAsia" w:ascii="仿宋" w:hAnsi="仿宋" w:eastAsia="仿宋" w:cs="仿宋"/>
          <w:b/>
          <w:sz w:val="28"/>
          <w:szCs w:val="28"/>
          <w:highlight w:val="none"/>
        </w:rPr>
      </w:pPr>
      <w:r>
        <w:rPr>
          <w:rStyle w:val="41"/>
          <w:rFonts w:hint="eastAsia" w:ascii="仿宋" w:hAnsi="仿宋" w:eastAsia="仿宋" w:cs="仿宋"/>
          <w:b/>
          <w:sz w:val="28"/>
          <w:szCs w:val="28"/>
          <w:highlight w:val="none"/>
        </w:rPr>
        <w:br w:type="page"/>
      </w:r>
    </w:p>
    <w:p w14:paraId="7C909829">
      <w:pPr>
        <w:pStyle w:val="37"/>
        <w:rPr>
          <w:rFonts w:hint="eastAsia" w:ascii="仿宋" w:hAnsi="仿宋" w:eastAsia="仿宋" w:cs="仿宋"/>
          <w:sz w:val="28"/>
          <w:szCs w:val="28"/>
          <w:highlight w:val="none"/>
        </w:rPr>
      </w:pPr>
    </w:p>
    <w:p w14:paraId="2F8B501E">
      <w:pPr>
        <w:spacing w:line="440" w:lineRule="exact"/>
        <w:ind w:firstLine="562" w:firstLineChars="200"/>
        <w:jc w:val="center"/>
        <w:textAlignment w:val="baseline"/>
        <w:rPr>
          <w:rFonts w:hint="eastAsia" w:ascii="仿宋" w:hAnsi="仿宋" w:eastAsia="仿宋" w:cs="仿宋"/>
          <w:b/>
          <w:bCs/>
          <w:sz w:val="28"/>
          <w:szCs w:val="28"/>
          <w:highlight w:val="none"/>
        </w:rPr>
      </w:pPr>
      <w:r>
        <w:rPr>
          <w:rStyle w:val="41"/>
          <w:rFonts w:hint="eastAsia" w:ascii="仿宋" w:hAnsi="仿宋" w:eastAsia="仿宋" w:cs="仿宋"/>
          <w:b/>
          <w:sz w:val="28"/>
          <w:szCs w:val="28"/>
          <w:highlight w:val="none"/>
        </w:rPr>
        <w:t>1、投标函</w:t>
      </w:r>
    </w:p>
    <w:p w14:paraId="6007E206">
      <w:pPr>
        <w:spacing w:line="360" w:lineRule="auto"/>
        <w:rPr>
          <w:rFonts w:ascii="仿宋" w:hAnsi="仿宋" w:eastAsia="仿宋" w:cs="仿宋"/>
          <w:bCs/>
          <w:color w:val="auto"/>
          <w:sz w:val="28"/>
          <w:szCs w:val="28"/>
          <w:highlight w:val="none"/>
        </w:rPr>
      </w:pPr>
      <w:r>
        <w:rPr>
          <w:rFonts w:hint="eastAsia" w:ascii="仿宋" w:hAnsi="仿宋" w:eastAsia="仿宋" w:cs="仿宋"/>
          <w:color w:val="000000"/>
          <w:kern w:val="0"/>
          <w:sz w:val="28"/>
          <w:szCs w:val="28"/>
          <w:highlight w:val="none"/>
          <w:lang w:val="en-US" w:eastAsia="zh-CN" w:bidi="ar"/>
        </w:rPr>
        <w:t xml:space="preserve">    </w:t>
      </w:r>
      <w:r>
        <w:rPr>
          <w:rFonts w:hint="eastAsia" w:ascii="仿宋" w:hAnsi="仿宋" w:eastAsia="仿宋" w:cs="仿宋"/>
          <w:bCs/>
          <w:color w:val="auto"/>
          <w:sz w:val="28"/>
          <w:szCs w:val="28"/>
          <w:highlight w:val="none"/>
        </w:rPr>
        <w:t xml:space="preserve">致：（采购人） </w:t>
      </w:r>
    </w:p>
    <w:p w14:paraId="798C0D1A">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 经现场踏勘和研究</w:t>
      </w:r>
      <w:r>
        <w:rPr>
          <w:rFonts w:hint="eastAsia" w:ascii="仿宋" w:hAnsi="仿宋" w:eastAsia="仿宋" w:cs="仿宋"/>
          <w:bCs/>
          <w:color w:val="auto"/>
          <w:sz w:val="28"/>
          <w:szCs w:val="28"/>
          <w:highlight w:val="none"/>
          <w:u w:val="single"/>
        </w:rPr>
        <w:t xml:space="preserve">      （项目名称）</w:t>
      </w:r>
      <w:r>
        <w:rPr>
          <w:rFonts w:hint="eastAsia" w:ascii="仿宋" w:hAnsi="仿宋" w:eastAsia="仿宋" w:cs="仿宋"/>
          <w:bCs/>
          <w:color w:val="auto"/>
          <w:sz w:val="28"/>
          <w:szCs w:val="28"/>
          <w:highlight w:val="none"/>
          <w:lang w:eastAsia="zh-CN"/>
        </w:rPr>
        <w:t>竞争性磋商</w:t>
      </w:r>
      <w:r>
        <w:rPr>
          <w:rFonts w:hint="eastAsia" w:ascii="仿宋" w:hAnsi="仿宋" w:eastAsia="仿宋" w:cs="仿宋"/>
          <w:bCs/>
          <w:color w:val="auto"/>
          <w:sz w:val="28"/>
          <w:szCs w:val="28"/>
          <w:highlight w:val="none"/>
        </w:rPr>
        <w:t>文件的全部内容后，我方就上述工程及相关服务进行投标，其中投标报价为人民币（大写）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元（小写），工期为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日历天。质量标准为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。缺陷责任期为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w:t>
      </w:r>
    </w:p>
    <w:p w14:paraId="0E0EBA8D">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 如果我方中标，我方保证在中标通知书规定的期限内与你方签订合同协议书。</w:t>
      </w:r>
    </w:p>
    <w:p w14:paraId="6D529FB2">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 我方委派</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担任本项目负责人，直接参与全过程服务。 </w:t>
      </w:r>
    </w:p>
    <w:p w14:paraId="60392062">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 如果我方中标，我方将按照规定提交履约担保。</w:t>
      </w:r>
    </w:p>
    <w:p w14:paraId="4A2AF8A7">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 投标有效期为自投标截止之日起</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日历天；我方承诺完全响应</w:t>
      </w:r>
      <w:r>
        <w:rPr>
          <w:rFonts w:hint="eastAsia" w:ascii="仿宋" w:hAnsi="仿宋" w:eastAsia="仿宋" w:cs="仿宋"/>
          <w:bCs/>
          <w:color w:val="auto"/>
          <w:sz w:val="28"/>
          <w:szCs w:val="28"/>
          <w:highlight w:val="none"/>
          <w:lang w:eastAsia="zh-CN"/>
        </w:rPr>
        <w:t>竞争性磋商</w:t>
      </w:r>
      <w:r>
        <w:rPr>
          <w:rFonts w:hint="eastAsia" w:ascii="仿宋" w:hAnsi="仿宋" w:eastAsia="仿宋" w:cs="仿宋"/>
          <w:bCs/>
          <w:color w:val="auto"/>
          <w:sz w:val="28"/>
          <w:szCs w:val="28"/>
          <w:highlight w:val="none"/>
        </w:rPr>
        <w:t>文件及补充、澄清、修改文件中的全部内容。</w:t>
      </w:r>
    </w:p>
    <w:p w14:paraId="25247A78">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 投标内容</w:t>
      </w:r>
      <w:r>
        <w:rPr>
          <w:rFonts w:hint="eastAsia" w:ascii="仿宋" w:hAnsi="仿宋" w:eastAsia="仿宋" w:cs="仿宋"/>
          <w:bCs/>
          <w:color w:val="auto"/>
          <w:sz w:val="28"/>
          <w:szCs w:val="28"/>
          <w:highlight w:val="none"/>
          <w:u w:val="single"/>
        </w:rPr>
        <w:t>响应</w:t>
      </w:r>
      <w:r>
        <w:rPr>
          <w:rFonts w:hint="eastAsia" w:ascii="仿宋" w:hAnsi="仿宋" w:eastAsia="仿宋" w:cs="仿宋"/>
          <w:bCs/>
          <w:color w:val="auto"/>
          <w:sz w:val="28"/>
          <w:szCs w:val="28"/>
          <w:highlight w:val="none"/>
        </w:rPr>
        <w:t>采购文件要求。</w:t>
      </w:r>
    </w:p>
    <w:p w14:paraId="2B615B35">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 我方愿意提供采购人可能另外要求的、与投标有关的文件资料，并保证我方已提供和将要提供的文件是真实的、准确的。</w:t>
      </w:r>
    </w:p>
    <w:p w14:paraId="1FFFFFCE">
      <w:pPr>
        <w:spacing w:line="360" w:lineRule="auto"/>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8. 我方完全理解你们不一定将合同授予最低报价的供应商。</w:t>
      </w:r>
    </w:p>
    <w:p w14:paraId="397B8AA0">
      <w:pPr>
        <w:rPr>
          <w:rFonts w:ascii="仿宋" w:hAnsi="仿宋" w:eastAsia="仿宋" w:cs="仿宋"/>
          <w:color w:val="auto"/>
          <w:sz w:val="28"/>
          <w:szCs w:val="28"/>
          <w:highlight w:val="none"/>
        </w:rPr>
      </w:pPr>
    </w:p>
    <w:p w14:paraId="46E88851">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14F5087E">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传    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6F8B1738">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供应商公章：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56121FE7">
      <w:pPr>
        <w:keepNext w:val="0"/>
        <w:keepLines w:val="0"/>
        <w:widowControl/>
        <w:suppressLineNumbers w:val="0"/>
        <w:ind w:firstLine="280" w:firstLineChars="100"/>
        <w:jc w:val="both"/>
        <w:rPr>
          <w:rFonts w:ascii="仿宋" w:hAnsi="仿宋" w:eastAsia="仿宋" w:cs="仿宋"/>
          <w:color w:val="auto"/>
          <w:kern w:val="0"/>
          <w:sz w:val="28"/>
          <w:szCs w:val="28"/>
          <w:highlight w:val="none"/>
          <w:lang w:val="en-US" w:eastAsia="zh-CN" w:bidi="ar"/>
        </w:rPr>
      </w:pPr>
      <w:r>
        <w:rPr>
          <w:rFonts w:hint="eastAsia" w:ascii="仿宋" w:hAnsi="仿宋" w:eastAsia="仿宋" w:cs="仿宋"/>
          <w:bCs/>
          <w:color w:val="auto"/>
          <w:sz w:val="28"/>
          <w:szCs w:val="28"/>
          <w:highlight w:val="none"/>
        </w:rPr>
        <w:t xml:space="preserve">日    期： </w:t>
      </w:r>
      <w:r>
        <w:rPr>
          <w:rFonts w:hint="eastAsia" w:ascii="仿宋" w:hAnsi="仿宋" w:eastAsia="仿宋" w:cs="仿宋"/>
          <w:bCs/>
          <w:color w:val="auto"/>
          <w:sz w:val="28"/>
          <w:szCs w:val="28"/>
          <w:highlight w:val="none"/>
          <w:u w:val="single"/>
        </w:rPr>
        <w:t xml:space="preserve">              </w:t>
      </w:r>
    </w:p>
    <w:p w14:paraId="086C8574">
      <w:pPr>
        <w:spacing w:before="0" w:line="240" w:lineRule="auto"/>
        <w:ind w:left="0" w:right="0" w:firstLine="0"/>
        <w:rPr>
          <w:rFonts w:ascii="仿宋" w:hAnsi="仿宋" w:eastAsia="仿宋" w:cs="仿宋"/>
          <w:b/>
          <w:bCs/>
          <w:spacing w:val="-4"/>
          <w:sz w:val="28"/>
          <w:szCs w:val="28"/>
          <w:highlight w:val="none"/>
        </w:rPr>
      </w:pPr>
      <w:r>
        <w:rPr>
          <w:rFonts w:ascii="仿宋" w:hAnsi="仿宋" w:eastAsia="仿宋" w:cs="仿宋"/>
          <w:b/>
          <w:bCs/>
          <w:spacing w:val="-4"/>
          <w:sz w:val="28"/>
          <w:szCs w:val="28"/>
          <w:highlight w:val="none"/>
        </w:rPr>
        <w:br w:type="page"/>
      </w:r>
    </w:p>
    <w:p w14:paraId="7179F367">
      <w:pPr>
        <w:pStyle w:val="9"/>
        <w:keepNext w:val="0"/>
        <w:keepLines w:val="0"/>
        <w:widowControl/>
        <w:numPr>
          <w:ilvl w:val="0"/>
          <w:numId w:val="0"/>
        </w:numPr>
        <w:autoSpaceDE w:val="0"/>
        <w:autoSpaceDN w:val="0"/>
        <w:spacing w:line="360" w:lineRule="auto"/>
        <w:ind w:left="0" w:leftChars="0" w:firstLine="420" w:firstLineChars="0"/>
        <w:rPr>
          <w:rStyle w:val="41"/>
          <w:rFonts w:hint="eastAsia" w:ascii="仿宋" w:hAnsi="仿宋" w:eastAsia="仿宋" w:cs="仿宋"/>
          <w:sz w:val="28"/>
          <w:szCs w:val="28"/>
          <w:highlight w:val="none"/>
        </w:rPr>
      </w:pPr>
      <w:r>
        <w:rPr>
          <w:rFonts w:hint="eastAsia" w:ascii="仿宋" w:hAnsi="仿宋" w:eastAsia="仿宋" w:cs="仿宋"/>
          <w:b/>
          <w:bCs/>
          <w:kern w:val="2"/>
          <w:sz w:val="28"/>
          <w:szCs w:val="28"/>
          <w:lang w:val="en-US" w:eastAsia="zh-CN" w:bidi="ar-SA"/>
        </w:rPr>
        <w:t>2、</w:t>
      </w:r>
      <w:r>
        <w:rPr>
          <w:rStyle w:val="41"/>
          <w:rFonts w:hint="eastAsia" w:ascii="仿宋" w:hAnsi="仿宋" w:eastAsia="仿宋" w:cs="仿宋"/>
          <w:sz w:val="28"/>
          <w:szCs w:val="28"/>
          <w:highlight w:val="none"/>
        </w:rPr>
        <w:t>开标一览表</w:t>
      </w:r>
    </w:p>
    <w:p w14:paraId="2993C026">
      <w:pPr>
        <w:pStyle w:val="21"/>
        <w:widowControl/>
        <w:wordWrap w:val="0"/>
        <w:autoSpaceDE w:val="0"/>
        <w:autoSpaceDN w:val="0"/>
        <w:spacing w:line="480" w:lineRule="atLeast"/>
        <w:rPr>
          <w:rFonts w:ascii="仿宋" w:hAnsi="仿宋" w:eastAsia="仿宋" w:cs="仿宋"/>
          <w:color w:val="auto"/>
          <w:sz w:val="28"/>
          <w:szCs w:val="28"/>
          <w:highlight w:val="none"/>
        </w:rPr>
      </w:pPr>
      <w:bookmarkStart w:id="1137" w:name="_Toc29449"/>
      <w:r>
        <w:rPr>
          <w:rFonts w:hint="eastAsia" w:ascii="仿宋" w:hAnsi="仿宋" w:eastAsia="仿宋" w:cs="仿宋"/>
          <w:color w:val="auto"/>
          <w:sz w:val="28"/>
          <w:szCs w:val="28"/>
          <w:highlight w:val="none"/>
        </w:rPr>
        <w:t>采购项目编号：</w:t>
      </w:r>
      <w:r>
        <w:rPr>
          <w:rStyle w:val="25"/>
          <w:rFonts w:hint="eastAsia" w:ascii="仿宋" w:hAnsi="仿宋" w:eastAsia="仿宋" w:cs="仿宋"/>
          <w:color w:val="auto"/>
          <w:sz w:val="28"/>
          <w:szCs w:val="28"/>
          <w:highlight w:val="none"/>
          <w:u w:val="single"/>
        </w:rPr>
        <w:t xml:space="preserve">         </w:t>
      </w:r>
    </w:p>
    <w:p w14:paraId="22C2EF19">
      <w:pPr>
        <w:pStyle w:val="21"/>
        <w:widowControl/>
        <w:wordWrap w:val="0"/>
        <w:autoSpaceDE w:val="0"/>
        <w:autoSpaceDN w:val="0"/>
        <w:spacing w:line="480" w:lineRule="atLeast"/>
        <w:rPr>
          <w:rStyle w:val="25"/>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采购项目名称：</w:t>
      </w:r>
      <w:r>
        <w:rPr>
          <w:rStyle w:val="25"/>
          <w:rFonts w:hint="eastAsia" w:ascii="仿宋" w:hAnsi="仿宋" w:eastAsia="仿宋" w:cs="仿宋"/>
          <w:color w:val="auto"/>
          <w:sz w:val="28"/>
          <w:szCs w:val="28"/>
          <w:highlight w:val="none"/>
          <w:u w:val="single"/>
        </w:rPr>
        <w:t xml:space="preserve">         </w:t>
      </w:r>
    </w:p>
    <w:p w14:paraId="209504C4">
      <w:pPr>
        <w:pStyle w:val="21"/>
        <w:widowControl/>
        <w:wordWrap w:val="0"/>
        <w:autoSpaceDE w:val="0"/>
        <w:autoSpaceDN w:val="0"/>
        <w:spacing w:line="480" w:lineRule="atLeast"/>
        <w:rPr>
          <w:rStyle w:val="25"/>
          <w:rFonts w:ascii="仿宋" w:hAnsi="仿宋" w:eastAsia="仿宋" w:cs="仿宋"/>
          <w:color w:val="auto"/>
          <w:sz w:val="28"/>
          <w:szCs w:val="28"/>
          <w:highlight w:val="none"/>
          <w:u w:val="single"/>
        </w:rPr>
      </w:pPr>
      <w:r>
        <w:rPr>
          <w:rStyle w:val="25"/>
          <w:rFonts w:hint="eastAsia" w:ascii="仿宋" w:hAnsi="仿宋" w:eastAsia="仿宋" w:cs="仿宋"/>
          <w:bCs/>
          <w:color w:val="auto"/>
          <w:sz w:val="28"/>
          <w:szCs w:val="28"/>
          <w:highlight w:val="none"/>
        </w:rPr>
        <w:t>供应商名称：</w:t>
      </w:r>
      <w:r>
        <w:rPr>
          <w:rStyle w:val="25"/>
          <w:rFonts w:hint="eastAsia" w:ascii="仿宋" w:hAnsi="仿宋" w:eastAsia="仿宋" w:cs="仿宋"/>
          <w:color w:val="auto"/>
          <w:sz w:val="28"/>
          <w:szCs w:val="28"/>
          <w:highlight w:val="none"/>
          <w:u w:val="single"/>
        </w:rPr>
        <w:t xml:space="preserve">          </w:t>
      </w:r>
    </w:p>
    <w:tbl>
      <w:tblPr>
        <w:tblStyle w:val="22"/>
        <w:tblpPr w:leftFromText="180" w:rightFromText="180" w:vertAnchor="text" w:horzAnchor="page" w:tblpX="924" w:tblpY="243"/>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8"/>
        <w:gridCol w:w="7132"/>
      </w:tblGrid>
      <w:tr w14:paraId="6D3A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05819F83">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63E1A960">
            <w:pPr>
              <w:pStyle w:val="21"/>
              <w:widowControl/>
              <w:wordWrap w:val="0"/>
              <w:spacing w:line="360" w:lineRule="auto"/>
              <w:rPr>
                <w:rFonts w:ascii="仿宋" w:hAnsi="仿宋" w:eastAsia="仿宋" w:cs="仿宋"/>
                <w:color w:val="auto"/>
                <w:sz w:val="28"/>
                <w:szCs w:val="28"/>
                <w:highlight w:val="none"/>
              </w:rPr>
            </w:pPr>
            <w:r>
              <w:rPr>
                <w:rStyle w:val="25"/>
                <w:rFonts w:hint="eastAsia" w:ascii="仿宋" w:hAnsi="仿宋" w:eastAsia="仿宋" w:cs="仿宋"/>
                <w:color w:val="auto"/>
                <w:sz w:val="28"/>
                <w:szCs w:val="28"/>
                <w:highlight w:val="none"/>
                <w:u w:val="single"/>
              </w:rPr>
              <w:t xml:space="preserve">                    </w:t>
            </w:r>
          </w:p>
        </w:tc>
      </w:tr>
      <w:tr w14:paraId="651B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28C9D856">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报价 </w:t>
            </w:r>
          </w:p>
        </w:tc>
        <w:tc>
          <w:tcPr>
            <w:tcW w:w="7132" w:type="dxa"/>
            <w:tcBorders>
              <w:top w:val="single" w:color="auto" w:sz="4" w:space="0"/>
              <w:left w:val="single" w:color="auto" w:sz="4" w:space="0"/>
              <w:bottom w:val="single" w:color="auto" w:sz="4" w:space="0"/>
              <w:right w:val="single" w:color="auto" w:sz="4" w:space="0"/>
            </w:tcBorders>
            <w:vAlign w:val="center"/>
          </w:tcPr>
          <w:p w14:paraId="6E7B92F9">
            <w:pPr>
              <w:pStyle w:val="21"/>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人民币小写（元）：</w:t>
            </w:r>
            <w:r>
              <w:rPr>
                <w:rStyle w:val="25"/>
                <w:rFonts w:hint="eastAsia" w:ascii="仿宋" w:hAnsi="仿宋" w:eastAsia="仿宋" w:cs="仿宋"/>
                <w:color w:val="auto"/>
                <w:sz w:val="28"/>
                <w:szCs w:val="28"/>
                <w:highlight w:val="none"/>
                <w:u w:val="single"/>
              </w:rPr>
              <w:t xml:space="preserve">      </w:t>
            </w:r>
          </w:p>
          <w:p w14:paraId="690F6547">
            <w:pPr>
              <w:pStyle w:val="21"/>
              <w:widowControl/>
              <w:wordWrap w:val="0"/>
              <w:spacing w:line="360" w:lineRule="auto"/>
              <w:rPr>
                <w:rStyle w:val="25"/>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人民币大写（元）：</w:t>
            </w:r>
            <w:r>
              <w:rPr>
                <w:rStyle w:val="25"/>
                <w:rFonts w:hint="eastAsia" w:ascii="仿宋" w:hAnsi="仿宋" w:eastAsia="仿宋" w:cs="仿宋"/>
                <w:color w:val="auto"/>
                <w:sz w:val="28"/>
                <w:szCs w:val="28"/>
                <w:highlight w:val="none"/>
                <w:u w:val="single"/>
              </w:rPr>
              <w:t xml:space="preserve">      </w:t>
            </w:r>
          </w:p>
        </w:tc>
      </w:tr>
      <w:tr w14:paraId="0555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0D844CFA">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工期 </w:t>
            </w:r>
          </w:p>
        </w:tc>
        <w:tc>
          <w:tcPr>
            <w:tcW w:w="7132" w:type="dxa"/>
            <w:tcBorders>
              <w:top w:val="single" w:color="auto" w:sz="4" w:space="0"/>
              <w:left w:val="single" w:color="auto" w:sz="4" w:space="0"/>
              <w:bottom w:val="single" w:color="auto" w:sz="4" w:space="0"/>
              <w:right w:val="single" w:color="auto" w:sz="4" w:space="0"/>
            </w:tcBorders>
            <w:vAlign w:val="center"/>
          </w:tcPr>
          <w:p w14:paraId="03219CD1">
            <w:pPr>
              <w:pStyle w:val="21"/>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合同签订之日起</w:t>
            </w:r>
            <w:r>
              <w:rPr>
                <w:rStyle w:val="25"/>
                <w:rFonts w:hint="eastAsia" w:ascii="仿宋" w:hAnsi="仿宋" w:eastAsia="仿宋" w:cs="仿宋"/>
                <w:color w:val="auto"/>
                <w:sz w:val="28"/>
                <w:szCs w:val="28"/>
                <w:highlight w:val="none"/>
                <w:u w:val="single"/>
              </w:rPr>
              <w:t xml:space="preserve">      </w:t>
            </w:r>
            <w:r>
              <w:rPr>
                <w:rStyle w:val="25"/>
                <w:rFonts w:hint="eastAsia" w:ascii="仿宋" w:hAnsi="仿宋" w:eastAsia="仿宋" w:cs="仿宋"/>
                <w:bCs/>
                <w:color w:val="auto"/>
                <w:sz w:val="28"/>
                <w:szCs w:val="28"/>
                <w:highlight w:val="none"/>
              </w:rPr>
              <w:t>日历天</w:t>
            </w:r>
            <w:r>
              <w:rPr>
                <w:rFonts w:hint="eastAsia" w:ascii="仿宋" w:hAnsi="仿宋" w:eastAsia="仿宋" w:cs="仿宋"/>
                <w:color w:val="auto"/>
                <w:sz w:val="28"/>
                <w:szCs w:val="28"/>
                <w:highlight w:val="none"/>
              </w:rPr>
              <w:t>内施工完毕</w:t>
            </w:r>
          </w:p>
        </w:tc>
      </w:tr>
      <w:tr w14:paraId="76F8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63369AED">
            <w:pPr>
              <w:widowControl/>
              <w:wordWrap w:val="0"/>
              <w:spacing w:line="360" w:lineRule="auto"/>
              <w:jc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备注 </w:t>
            </w:r>
          </w:p>
        </w:tc>
        <w:tc>
          <w:tcPr>
            <w:tcW w:w="7132" w:type="dxa"/>
            <w:tcBorders>
              <w:top w:val="single" w:color="auto" w:sz="4" w:space="0"/>
              <w:left w:val="single" w:color="auto" w:sz="4" w:space="0"/>
              <w:bottom w:val="single" w:color="auto" w:sz="4" w:space="0"/>
              <w:right w:val="single" w:color="auto" w:sz="4" w:space="0"/>
            </w:tcBorders>
            <w:vAlign w:val="center"/>
          </w:tcPr>
          <w:p w14:paraId="67AE3539">
            <w:pPr>
              <w:pStyle w:val="21"/>
              <w:widowControl/>
              <w:wordWrap w:val="0"/>
              <w:spacing w:line="360" w:lineRule="auto"/>
              <w:rPr>
                <w:rFonts w:ascii="仿宋" w:hAnsi="仿宋" w:eastAsia="仿宋" w:cs="仿宋"/>
                <w:color w:val="auto"/>
                <w:sz w:val="28"/>
                <w:szCs w:val="28"/>
                <w:highlight w:val="none"/>
              </w:rPr>
            </w:pPr>
          </w:p>
        </w:tc>
      </w:tr>
    </w:tbl>
    <w:p w14:paraId="13F3877F">
      <w:pPr>
        <w:pStyle w:val="21"/>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注：报价包括采购、运输、人工、安装、调试、售后服务、税费等所有费用。 </w:t>
      </w:r>
    </w:p>
    <w:p w14:paraId="21F1ABEA">
      <w:pPr>
        <w:pStyle w:val="21"/>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法人代表（盖</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23A60704">
      <w:pPr>
        <w:pStyle w:val="21"/>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26BA14EB">
      <w:pPr>
        <w:pStyle w:val="21"/>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465B1341">
      <w:pPr>
        <w:spacing w:before="0" w:line="240" w:lineRule="auto"/>
        <w:ind w:left="0" w:right="0" w:firstLine="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33D0A3D8">
      <w:pPr>
        <w:rPr>
          <w:rFonts w:hint="eastAsia" w:ascii="仿宋" w:hAnsi="仿宋" w:eastAsia="仿宋" w:cs="仿宋"/>
          <w:b/>
          <w:bCs/>
          <w:sz w:val="28"/>
          <w:szCs w:val="28"/>
          <w:highlight w:val="none"/>
        </w:rPr>
      </w:pPr>
    </w:p>
    <w:p w14:paraId="4A937EC7">
      <w:pPr>
        <w:pStyle w:val="9"/>
        <w:widowControl/>
        <w:spacing w:line="360" w:lineRule="auto"/>
        <w:ind w:firstLine="562" w:firstLineChars="200"/>
        <w:jc w:val="center"/>
        <w:rPr>
          <w:rFonts w:hint="eastAsia" w:ascii="仿宋" w:hAnsi="仿宋" w:eastAsia="仿宋" w:cs="仿宋"/>
          <w:b w:val="0"/>
          <w:color w:val="auto"/>
          <w:sz w:val="28"/>
          <w:szCs w:val="28"/>
          <w:highlight w:val="none"/>
        </w:rPr>
      </w:pPr>
      <w:r>
        <w:rPr>
          <w:rFonts w:hint="eastAsia" w:ascii="仿宋" w:hAnsi="仿宋" w:eastAsia="仿宋" w:cs="仿宋"/>
          <w:sz w:val="28"/>
          <w:szCs w:val="28"/>
          <w:highlight w:val="none"/>
        </w:rPr>
        <w:t>3、</w:t>
      </w:r>
      <w:bookmarkEnd w:id="1137"/>
      <w:r>
        <w:rPr>
          <w:rFonts w:hint="eastAsia" w:ascii="仿宋" w:hAnsi="仿宋" w:eastAsia="仿宋" w:cs="仿宋"/>
          <w:color w:val="auto"/>
          <w:sz w:val="28"/>
          <w:szCs w:val="28"/>
          <w:highlight w:val="none"/>
          <w:lang w:val="en-US"/>
        </w:rPr>
        <w:t>法人代表授权书</w:t>
      </w:r>
    </w:p>
    <w:p w14:paraId="1EC8EEAB">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（采购人）：</w:t>
      </w:r>
    </w:p>
    <w:p w14:paraId="7BF25C9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（供应商全称）法人代表授权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（供应商代表姓名）为供应商代表，参加贵单位组织的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（项目名称）项目（项目编号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采购活动，全权代表我方处理采购活动的一切事宜。</w:t>
      </w:r>
    </w:p>
    <w:p w14:paraId="63048E7C">
      <w:pPr>
        <w:spacing w:line="360" w:lineRule="auto"/>
        <w:rPr>
          <w:rFonts w:hint="eastAsia" w:ascii="仿宋" w:hAnsi="仿宋" w:eastAsia="仿宋" w:cs="仿宋"/>
          <w:color w:val="auto"/>
          <w:sz w:val="28"/>
          <w:szCs w:val="28"/>
          <w:highlight w:val="none"/>
        </w:rPr>
      </w:pPr>
    </w:p>
    <w:p w14:paraId="0C238DE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法定代表人（签字或盖章）：</w:t>
      </w:r>
    </w:p>
    <w:p w14:paraId="5295817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供应商电子签章：</w:t>
      </w:r>
    </w:p>
    <w:p w14:paraId="0BBB9A1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p>
    <w:p w14:paraId="79436C3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委托代理人身份证复印件</w:t>
      </w:r>
    </w:p>
    <w:p w14:paraId="50F76E0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3B211B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p>
    <w:p w14:paraId="1C94B3F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详细通讯地址：  </w:t>
      </w:r>
      <w:r>
        <w:rPr>
          <w:rFonts w:hint="eastAsia" w:ascii="仿宋" w:hAnsi="仿宋" w:eastAsia="仿宋" w:cs="仿宋"/>
          <w:color w:val="auto"/>
          <w:sz w:val="28"/>
          <w:szCs w:val="28"/>
          <w:highlight w:val="none"/>
          <w:u w:val="single"/>
        </w:rPr>
        <w:t xml:space="preserve">                       </w:t>
      </w:r>
    </w:p>
    <w:p w14:paraId="6255C7C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  政  编  码：</w:t>
      </w:r>
      <w:r>
        <w:rPr>
          <w:rFonts w:hint="eastAsia" w:ascii="仿宋" w:hAnsi="仿宋" w:eastAsia="仿宋" w:cs="仿宋"/>
          <w:color w:val="auto"/>
          <w:sz w:val="28"/>
          <w:szCs w:val="28"/>
          <w:highlight w:val="none"/>
          <w:u w:val="single"/>
        </w:rPr>
        <w:t xml:space="preserve">                       </w:t>
      </w:r>
    </w:p>
    <w:p w14:paraId="7261BCE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14:paraId="6DDDF2FB">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（紧急事件联系电话） </w:t>
      </w:r>
    </w:p>
    <w:p w14:paraId="698F3DD8">
      <w:pPr>
        <w:spacing w:line="360" w:lineRule="auto"/>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电  子  信  箱：</w:t>
      </w:r>
      <w:r>
        <w:rPr>
          <w:rFonts w:hint="eastAsia" w:ascii="仿宋" w:hAnsi="仿宋" w:eastAsia="仿宋" w:cs="仿宋"/>
          <w:color w:val="auto"/>
          <w:sz w:val="28"/>
          <w:szCs w:val="28"/>
          <w:highlight w:val="none"/>
          <w:u w:val="single"/>
        </w:rPr>
        <w:t xml:space="preserve">                       </w:t>
      </w:r>
    </w:p>
    <w:p w14:paraId="02B791A4">
      <w:pPr>
        <w:pStyle w:val="6"/>
        <w:spacing w:before="66" w:line="360" w:lineRule="auto"/>
        <w:ind w:left="22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3F49B613">
      <w:pPr>
        <w:pStyle w:val="38"/>
        <w:numPr>
          <w:ilvl w:val="0"/>
          <w:numId w:val="13"/>
        </w:numPr>
        <w:tabs>
          <w:tab w:val="left" w:pos="462"/>
        </w:tabs>
        <w:spacing w:before="161"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本项目只允许有唯一的供应商授权代表，提供身份证明扫描件或影印件；</w:t>
      </w:r>
    </w:p>
    <w:p w14:paraId="1F739701">
      <w:pPr>
        <w:pStyle w:val="38"/>
        <w:numPr>
          <w:ilvl w:val="0"/>
          <w:numId w:val="13"/>
        </w:numPr>
        <w:tabs>
          <w:tab w:val="left" w:pos="462"/>
        </w:tabs>
        <w:spacing w:before="158"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法定代表人参加磋商的无需提供授权书，仅提供身份证明扫描件或影印件。</w:t>
      </w:r>
    </w:p>
    <w:p w14:paraId="2828D50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附：法定代表人身份证明</w:t>
      </w:r>
    </w:p>
    <w:p w14:paraId="2C41813D">
      <w:pPr>
        <w:spacing w:line="360" w:lineRule="auto"/>
        <w:jc w:val="center"/>
        <w:rPr>
          <w:rFonts w:hint="eastAsia" w:ascii="仿宋" w:hAnsi="仿宋" w:eastAsia="仿宋" w:cs="仿宋"/>
          <w:b/>
          <w:color w:val="auto"/>
          <w:sz w:val="28"/>
          <w:szCs w:val="28"/>
          <w:highlight w:val="none"/>
        </w:rPr>
      </w:pPr>
    </w:p>
    <w:p w14:paraId="7F076AC7">
      <w:pPr>
        <w:pStyle w:val="37"/>
        <w:spacing w:line="360" w:lineRule="auto"/>
        <w:rPr>
          <w:rFonts w:hint="eastAsia" w:ascii="仿宋" w:hAnsi="仿宋" w:eastAsia="仿宋" w:cs="仿宋"/>
          <w:color w:val="auto"/>
          <w:sz w:val="28"/>
          <w:szCs w:val="28"/>
          <w:highlight w:val="none"/>
        </w:rPr>
      </w:pPr>
    </w:p>
    <w:p w14:paraId="4E5FDE96">
      <w:pPr>
        <w:spacing w:line="360" w:lineRule="auto"/>
        <w:rPr>
          <w:rFonts w:hint="eastAsia" w:ascii="仿宋" w:hAnsi="仿宋" w:eastAsia="仿宋" w:cs="仿宋"/>
          <w:color w:val="auto"/>
          <w:sz w:val="28"/>
          <w:szCs w:val="28"/>
          <w:highlight w:val="none"/>
        </w:rPr>
      </w:pPr>
    </w:p>
    <w:p w14:paraId="04A6BA5C">
      <w:pPr>
        <w:spacing w:line="360"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法定代表人身份证明</w:t>
      </w:r>
    </w:p>
    <w:p w14:paraId="23ABC719">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3C7ACE8D">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p>
    <w:p w14:paraId="55F5120B">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174896D9">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年     月    日                 </w:t>
      </w:r>
    </w:p>
    <w:p w14:paraId="732DB9E6">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2B11D9C6">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p>
    <w:p w14:paraId="22042CAD">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年    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14:paraId="48C0043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（供应商单位名称）             </w:t>
      </w:r>
      <w:r>
        <w:rPr>
          <w:rFonts w:hint="eastAsia" w:ascii="仿宋" w:hAnsi="仿宋" w:eastAsia="仿宋" w:cs="仿宋"/>
          <w:color w:val="auto"/>
          <w:sz w:val="28"/>
          <w:szCs w:val="28"/>
          <w:highlight w:val="none"/>
        </w:rPr>
        <w:t>的法定代表人。</w:t>
      </w:r>
    </w:p>
    <w:p w14:paraId="177B9A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00D646A3">
      <w:pPr>
        <w:spacing w:line="360" w:lineRule="auto"/>
        <w:ind w:right="48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供应商电子签章：</w:t>
      </w:r>
      <w:r>
        <w:rPr>
          <w:rFonts w:hint="eastAsia" w:ascii="仿宋" w:hAnsi="仿宋" w:eastAsia="仿宋" w:cs="仿宋"/>
          <w:color w:val="auto"/>
          <w:sz w:val="28"/>
          <w:szCs w:val="28"/>
          <w:highlight w:val="none"/>
          <w:u w:val="single"/>
        </w:rPr>
        <w:t xml:space="preserve">          </w:t>
      </w:r>
    </w:p>
    <w:p w14:paraId="6425DBC8">
      <w:pPr>
        <w:spacing w:line="360"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 年  月  日</w:t>
      </w:r>
    </w:p>
    <w:p w14:paraId="3732311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法定代表人身份证复印件</w:t>
      </w:r>
    </w:p>
    <w:p w14:paraId="7DB4DDEA">
      <w:pPr>
        <w:spacing w:line="460" w:lineRule="exact"/>
        <w:ind w:firstLine="560" w:firstLineChars="200"/>
        <w:rPr>
          <w:rFonts w:hint="eastAsia" w:ascii="仿宋" w:hAnsi="仿宋" w:eastAsia="仿宋" w:cs="仿宋"/>
          <w:sz w:val="28"/>
          <w:szCs w:val="28"/>
          <w:highlight w:val="none"/>
        </w:rPr>
      </w:pPr>
    </w:p>
    <w:p w14:paraId="39C5CF72">
      <w:pPr>
        <w:ind w:firstLine="560" w:firstLineChars="200"/>
        <w:rPr>
          <w:rFonts w:hint="eastAsia" w:ascii="仿宋" w:hAnsi="仿宋" w:eastAsia="仿宋" w:cs="仿宋"/>
          <w:sz w:val="28"/>
          <w:szCs w:val="28"/>
          <w:highlight w:val="none"/>
        </w:rPr>
      </w:pPr>
      <w:bookmarkStart w:id="1138" w:name="_Toc3787"/>
      <w:r>
        <w:rPr>
          <w:rFonts w:hint="eastAsia" w:ascii="仿宋" w:hAnsi="仿宋" w:eastAsia="仿宋" w:cs="仿宋"/>
          <w:sz w:val="28"/>
          <w:szCs w:val="28"/>
          <w:highlight w:val="none"/>
        </w:rPr>
        <w:br w:type="page"/>
      </w:r>
    </w:p>
    <w:p w14:paraId="172EA2F9">
      <w:pPr>
        <w:rPr>
          <w:rFonts w:hint="eastAsia" w:ascii="仿宋" w:hAnsi="仿宋" w:eastAsia="仿宋" w:cs="仿宋"/>
          <w:sz w:val="28"/>
          <w:szCs w:val="28"/>
          <w:highlight w:val="none"/>
        </w:rPr>
      </w:pPr>
    </w:p>
    <w:p w14:paraId="67AD6D70">
      <w:pPr>
        <w:spacing w:line="360" w:lineRule="auto"/>
        <w:ind w:firstLine="562" w:firstLineChars="200"/>
        <w:jc w:val="center"/>
        <w:textAlignment w:val="baseline"/>
        <w:rPr>
          <w:rStyle w:val="41"/>
          <w:rFonts w:hint="eastAsia" w:ascii="仿宋" w:hAnsi="仿宋" w:eastAsia="仿宋" w:cs="仿宋"/>
          <w:b/>
          <w:bCs/>
          <w:sz w:val="28"/>
          <w:szCs w:val="28"/>
          <w:highlight w:val="none"/>
        </w:rPr>
      </w:pPr>
      <w:r>
        <w:rPr>
          <w:rStyle w:val="41"/>
          <w:rFonts w:hint="eastAsia" w:ascii="仿宋" w:hAnsi="仿宋" w:eastAsia="仿宋" w:cs="仿宋"/>
          <w:b/>
          <w:bCs/>
          <w:sz w:val="28"/>
          <w:szCs w:val="28"/>
          <w:highlight w:val="none"/>
        </w:rPr>
        <w:t>4、工程量清单报价</w:t>
      </w:r>
    </w:p>
    <w:p w14:paraId="4DCE28E6">
      <w:pPr>
        <w:pStyle w:val="9"/>
        <w:keepNext w:val="0"/>
        <w:keepLines w:val="0"/>
        <w:widowControl/>
        <w:autoSpaceDE w:val="0"/>
        <w:autoSpaceDN w:val="0"/>
        <w:spacing w:line="360" w:lineRule="auto"/>
        <w:ind w:firstLine="560" w:firstLineChars="200"/>
        <w:rPr>
          <w:rFonts w:hint="eastAsia" w:ascii="仿宋" w:hAnsi="仿宋" w:eastAsia="仿宋" w:cs="仿宋"/>
          <w:sz w:val="28"/>
          <w:szCs w:val="28"/>
          <w:highlight w:val="none"/>
        </w:rPr>
      </w:pPr>
      <w:r>
        <w:rPr>
          <w:rStyle w:val="41"/>
          <w:rFonts w:hint="eastAsia" w:ascii="仿宋" w:hAnsi="仿宋" w:eastAsia="仿宋" w:cs="仿宋"/>
          <w:b w:val="0"/>
          <w:bCs w:val="0"/>
          <w:sz w:val="28"/>
          <w:szCs w:val="28"/>
          <w:highlight w:val="none"/>
        </w:rPr>
        <w:t>(按照附件内未标价工程量清单报价，格式自拟)</w:t>
      </w:r>
    </w:p>
    <w:p w14:paraId="45087806">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7B0B2356">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07369876">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5A65760A">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76E8FFD6">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4E386ECA">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3C75A2B7">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59B227BD">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70F90B16">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4D601439">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3613A40D">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22631032">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316F4272">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37EFB85D">
      <w:pPr>
        <w:pStyle w:val="9"/>
        <w:keepNext w:val="0"/>
        <w:keepLines w:val="0"/>
        <w:widowControl/>
        <w:autoSpaceDE w:val="0"/>
        <w:autoSpaceDN w:val="0"/>
        <w:spacing w:line="360" w:lineRule="auto"/>
        <w:ind w:firstLine="562" w:firstLineChars="200"/>
        <w:outlineLvl w:val="9"/>
        <w:rPr>
          <w:rFonts w:hint="eastAsia" w:ascii="仿宋" w:hAnsi="仿宋" w:eastAsia="仿宋" w:cs="仿宋"/>
          <w:sz w:val="28"/>
          <w:szCs w:val="28"/>
          <w:highlight w:val="none"/>
        </w:rPr>
      </w:pPr>
    </w:p>
    <w:p w14:paraId="7F1A7A42">
      <w:pPr>
        <w:pStyle w:val="9"/>
        <w:keepNext w:val="0"/>
        <w:keepLines w:val="0"/>
        <w:widowControl/>
        <w:autoSpaceDE w:val="0"/>
        <w:autoSpaceDN w:val="0"/>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5、资格审查资料</w:t>
      </w:r>
      <w:bookmarkEnd w:id="1138"/>
    </w:p>
    <w:p w14:paraId="552017E9">
      <w:pPr>
        <w:spacing w:line="360" w:lineRule="auto"/>
        <w:ind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1、投标人基本情况表</w:t>
      </w:r>
    </w:p>
    <w:p w14:paraId="04211F17">
      <w:pPr>
        <w:topLinePunct/>
        <w:spacing w:line="440" w:lineRule="exact"/>
        <w:rPr>
          <w:rFonts w:hint="eastAsia" w:ascii="仿宋" w:hAnsi="仿宋" w:eastAsia="仿宋" w:cs="仿宋"/>
          <w:sz w:val="28"/>
          <w:szCs w:val="28"/>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972"/>
        <w:gridCol w:w="877"/>
        <w:gridCol w:w="840"/>
        <w:gridCol w:w="420"/>
        <w:gridCol w:w="311"/>
        <w:gridCol w:w="1078"/>
        <w:gridCol w:w="490"/>
        <w:gridCol w:w="860"/>
        <w:gridCol w:w="992"/>
      </w:tblGrid>
      <w:tr w14:paraId="0C2B8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D95C70">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64A7F0C">
            <w:pPr>
              <w:topLinePunct/>
              <w:spacing w:line="440" w:lineRule="exact"/>
              <w:jc w:val="center"/>
              <w:rPr>
                <w:rFonts w:hint="eastAsia" w:ascii="仿宋" w:hAnsi="仿宋" w:eastAsia="仿宋" w:cs="仿宋"/>
                <w:sz w:val="28"/>
                <w:szCs w:val="28"/>
                <w:highlight w:val="none"/>
              </w:rPr>
            </w:pPr>
          </w:p>
        </w:tc>
      </w:tr>
      <w:tr w14:paraId="696F1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5510B5">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0747168">
            <w:pPr>
              <w:topLinePunct/>
              <w:spacing w:line="440" w:lineRule="exact"/>
              <w:jc w:val="center"/>
              <w:rPr>
                <w:rFonts w:hint="eastAsia" w:ascii="仿宋" w:hAnsi="仿宋" w:eastAsia="仿宋" w:cs="仿宋"/>
                <w:sz w:val="28"/>
                <w:szCs w:val="28"/>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48847D81">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867B3D">
            <w:pPr>
              <w:topLinePunct/>
              <w:spacing w:line="440" w:lineRule="exact"/>
              <w:jc w:val="center"/>
              <w:rPr>
                <w:rFonts w:hint="eastAsia" w:ascii="仿宋" w:hAnsi="仿宋" w:eastAsia="仿宋" w:cs="仿宋"/>
                <w:sz w:val="28"/>
                <w:szCs w:val="28"/>
                <w:highlight w:val="none"/>
              </w:rPr>
            </w:pPr>
          </w:p>
        </w:tc>
      </w:tr>
      <w:tr w14:paraId="34D6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7EF81FB">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p>
        </w:tc>
        <w:tc>
          <w:tcPr>
            <w:tcW w:w="972" w:type="dxa"/>
            <w:tcBorders>
              <w:top w:val="single" w:color="auto" w:sz="4" w:space="0"/>
              <w:left w:val="single" w:color="auto" w:sz="4" w:space="0"/>
              <w:bottom w:val="single" w:color="auto" w:sz="4" w:space="0"/>
              <w:right w:val="single" w:color="auto" w:sz="4" w:space="0"/>
            </w:tcBorders>
            <w:vAlign w:val="center"/>
          </w:tcPr>
          <w:p w14:paraId="15BCABD4">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p>
        </w:tc>
        <w:tc>
          <w:tcPr>
            <w:tcW w:w="2448" w:type="dxa"/>
            <w:gridSpan w:val="4"/>
            <w:tcBorders>
              <w:top w:val="single" w:color="auto" w:sz="4" w:space="0"/>
              <w:left w:val="single" w:color="auto" w:sz="4" w:space="0"/>
              <w:bottom w:val="single" w:color="auto" w:sz="4" w:space="0"/>
              <w:right w:val="single" w:color="auto" w:sz="4" w:space="0"/>
            </w:tcBorders>
            <w:vAlign w:val="center"/>
          </w:tcPr>
          <w:p w14:paraId="29FA2084">
            <w:pPr>
              <w:topLinePunct/>
              <w:spacing w:line="440" w:lineRule="exact"/>
              <w:jc w:val="center"/>
              <w:rPr>
                <w:rFonts w:hint="eastAsia" w:ascii="仿宋" w:hAnsi="仿宋" w:eastAsia="仿宋" w:cs="仿宋"/>
                <w:sz w:val="28"/>
                <w:szCs w:val="28"/>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3C48643A">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ACE7F24">
            <w:pPr>
              <w:topLinePunct/>
              <w:spacing w:line="440" w:lineRule="exact"/>
              <w:jc w:val="center"/>
              <w:rPr>
                <w:rFonts w:hint="eastAsia" w:ascii="仿宋" w:hAnsi="仿宋" w:eastAsia="仿宋" w:cs="仿宋"/>
                <w:sz w:val="28"/>
                <w:szCs w:val="28"/>
                <w:highlight w:val="none"/>
              </w:rPr>
            </w:pPr>
          </w:p>
        </w:tc>
      </w:tr>
      <w:tr w14:paraId="16873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81D28EB">
            <w:pPr>
              <w:topLinePunct/>
              <w:spacing w:line="440" w:lineRule="exact"/>
              <w:jc w:val="center"/>
              <w:rPr>
                <w:rFonts w:hint="eastAsia" w:ascii="仿宋" w:hAnsi="仿宋" w:eastAsia="仿宋" w:cs="仿宋"/>
                <w:sz w:val="28"/>
                <w:szCs w:val="28"/>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D2244BD">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传  真</w:t>
            </w:r>
          </w:p>
        </w:tc>
        <w:tc>
          <w:tcPr>
            <w:tcW w:w="2448" w:type="dxa"/>
            <w:gridSpan w:val="4"/>
            <w:tcBorders>
              <w:top w:val="single" w:color="auto" w:sz="4" w:space="0"/>
              <w:left w:val="single" w:color="auto" w:sz="4" w:space="0"/>
              <w:bottom w:val="single" w:color="auto" w:sz="4" w:space="0"/>
              <w:right w:val="single" w:color="auto" w:sz="4" w:space="0"/>
            </w:tcBorders>
            <w:vAlign w:val="center"/>
          </w:tcPr>
          <w:p w14:paraId="0598AF59">
            <w:pPr>
              <w:topLinePunct/>
              <w:spacing w:line="440" w:lineRule="exact"/>
              <w:jc w:val="center"/>
              <w:rPr>
                <w:rFonts w:hint="eastAsia" w:ascii="仿宋" w:hAnsi="仿宋" w:eastAsia="仿宋" w:cs="仿宋"/>
                <w:sz w:val="28"/>
                <w:szCs w:val="28"/>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6EBDF96D">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4094D7D">
            <w:pPr>
              <w:topLinePunct/>
              <w:spacing w:line="440" w:lineRule="exact"/>
              <w:jc w:val="center"/>
              <w:rPr>
                <w:rFonts w:hint="eastAsia" w:ascii="仿宋" w:hAnsi="仿宋" w:eastAsia="仿宋" w:cs="仿宋"/>
                <w:sz w:val="28"/>
                <w:szCs w:val="28"/>
                <w:highlight w:val="none"/>
              </w:rPr>
            </w:pPr>
          </w:p>
        </w:tc>
      </w:tr>
      <w:tr w14:paraId="46072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92227F0">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96A3848">
            <w:pPr>
              <w:topLinePunct/>
              <w:spacing w:line="440" w:lineRule="exact"/>
              <w:jc w:val="center"/>
              <w:rPr>
                <w:rFonts w:hint="eastAsia" w:ascii="仿宋" w:hAnsi="仿宋" w:eastAsia="仿宋" w:cs="仿宋"/>
                <w:sz w:val="28"/>
                <w:szCs w:val="28"/>
                <w:highlight w:val="none"/>
              </w:rPr>
            </w:pPr>
          </w:p>
        </w:tc>
      </w:tr>
      <w:tr w14:paraId="56B35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36D3D02">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972" w:type="dxa"/>
            <w:tcBorders>
              <w:top w:val="single" w:color="auto" w:sz="4" w:space="0"/>
              <w:left w:val="single" w:color="auto" w:sz="4" w:space="0"/>
              <w:bottom w:val="single" w:color="auto" w:sz="4" w:space="0"/>
              <w:right w:val="single" w:color="auto" w:sz="4" w:space="0"/>
            </w:tcBorders>
            <w:vAlign w:val="center"/>
          </w:tcPr>
          <w:p w14:paraId="36D80424">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877" w:type="dxa"/>
            <w:tcBorders>
              <w:top w:val="single" w:color="auto" w:sz="4" w:space="0"/>
              <w:left w:val="single" w:color="auto" w:sz="4" w:space="0"/>
              <w:bottom w:val="single" w:color="auto" w:sz="4" w:space="0"/>
              <w:right w:val="single" w:color="auto" w:sz="4" w:space="0"/>
            </w:tcBorders>
            <w:vAlign w:val="center"/>
          </w:tcPr>
          <w:p w14:paraId="0C9CC70B">
            <w:pPr>
              <w:topLinePunct/>
              <w:spacing w:line="440" w:lineRule="exact"/>
              <w:jc w:val="center"/>
              <w:rPr>
                <w:rFonts w:hint="eastAsia" w:ascii="仿宋" w:hAnsi="仿宋" w:eastAsia="仿宋" w:cs="仿宋"/>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27659A3">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96AEF59">
            <w:pPr>
              <w:topLinePunct/>
              <w:spacing w:line="440" w:lineRule="exact"/>
              <w:jc w:val="center"/>
              <w:rPr>
                <w:rFonts w:hint="eastAsia" w:ascii="仿宋" w:hAnsi="仿宋" w:eastAsia="仿宋" w:cs="仿宋"/>
                <w:sz w:val="28"/>
                <w:szCs w:val="2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ED47CD3">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35072C9">
            <w:pPr>
              <w:topLinePunct/>
              <w:spacing w:line="440" w:lineRule="exact"/>
              <w:jc w:val="center"/>
              <w:rPr>
                <w:rFonts w:hint="eastAsia" w:ascii="仿宋" w:hAnsi="仿宋" w:eastAsia="仿宋" w:cs="仿宋"/>
                <w:sz w:val="28"/>
                <w:szCs w:val="28"/>
                <w:highlight w:val="none"/>
              </w:rPr>
            </w:pPr>
          </w:p>
        </w:tc>
      </w:tr>
      <w:tr w14:paraId="76FE9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2E3269D">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技术负责人</w:t>
            </w:r>
          </w:p>
        </w:tc>
        <w:tc>
          <w:tcPr>
            <w:tcW w:w="972" w:type="dxa"/>
            <w:tcBorders>
              <w:top w:val="single" w:color="auto" w:sz="4" w:space="0"/>
              <w:left w:val="single" w:color="auto" w:sz="4" w:space="0"/>
              <w:bottom w:val="single" w:color="auto" w:sz="4" w:space="0"/>
              <w:right w:val="single" w:color="auto" w:sz="4" w:space="0"/>
            </w:tcBorders>
            <w:vAlign w:val="center"/>
          </w:tcPr>
          <w:p w14:paraId="14150159">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877" w:type="dxa"/>
            <w:tcBorders>
              <w:top w:val="single" w:color="auto" w:sz="4" w:space="0"/>
              <w:left w:val="single" w:color="auto" w:sz="4" w:space="0"/>
              <w:bottom w:val="single" w:color="auto" w:sz="4" w:space="0"/>
              <w:right w:val="single" w:color="auto" w:sz="4" w:space="0"/>
            </w:tcBorders>
            <w:vAlign w:val="center"/>
          </w:tcPr>
          <w:p w14:paraId="441951C0">
            <w:pPr>
              <w:topLinePunct/>
              <w:spacing w:line="440" w:lineRule="exact"/>
              <w:jc w:val="center"/>
              <w:rPr>
                <w:rFonts w:hint="eastAsia" w:ascii="仿宋" w:hAnsi="仿宋" w:eastAsia="仿宋" w:cs="仿宋"/>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0D30F0E">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2AC8D23">
            <w:pPr>
              <w:topLinePunct/>
              <w:spacing w:line="440" w:lineRule="exact"/>
              <w:jc w:val="center"/>
              <w:rPr>
                <w:rFonts w:hint="eastAsia" w:ascii="仿宋" w:hAnsi="仿宋" w:eastAsia="仿宋" w:cs="仿宋"/>
                <w:sz w:val="28"/>
                <w:szCs w:val="28"/>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5F86A0D6">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0899987E">
            <w:pPr>
              <w:topLinePunct/>
              <w:spacing w:line="440" w:lineRule="exact"/>
              <w:jc w:val="center"/>
              <w:rPr>
                <w:rFonts w:hint="eastAsia" w:ascii="仿宋" w:hAnsi="仿宋" w:eastAsia="仿宋" w:cs="仿宋"/>
                <w:sz w:val="28"/>
                <w:szCs w:val="28"/>
                <w:highlight w:val="none"/>
              </w:rPr>
            </w:pPr>
          </w:p>
        </w:tc>
      </w:tr>
      <w:tr w14:paraId="23248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9C3D9A2">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AD9B9B">
            <w:pPr>
              <w:topLinePunct/>
              <w:spacing w:line="440" w:lineRule="exact"/>
              <w:jc w:val="center"/>
              <w:rPr>
                <w:rFonts w:hint="eastAsia" w:ascii="仿宋" w:hAnsi="仿宋" w:eastAsia="仿宋" w:cs="仿宋"/>
                <w:sz w:val="28"/>
                <w:szCs w:val="28"/>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2D9D9BA7">
            <w:pPr>
              <w:topLinePunct/>
              <w:spacing w:line="440" w:lineRule="exact"/>
              <w:ind w:firstLine="140" w:firstLineChar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员工总人数：</w:t>
            </w:r>
          </w:p>
        </w:tc>
      </w:tr>
      <w:tr w14:paraId="383E5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9D10237">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7271298">
            <w:pPr>
              <w:topLinePunct/>
              <w:spacing w:line="440" w:lineRule="exact"/>
              <w:jc w:val="center"/>
              <w:rPr>
                <w:rFonts w:hint="eastAsia" w:ascii="仿宋" w:hAnsi="仿宋" w:eastAsia="仿宋" w:cs="仿宋"/>
                <w:sz w:val="28"/>
                <w:szCs w:val="28"/>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33E76FD5">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1979BA5">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21FE3D">
            <w:pPr>
              <w:topLinePunct/>
              <w:spacing w:line="440" w:lineRule="exact"/>
              <w:jc w:val="center"/>
              <w:rPr>
                <w:rFonts w:hint="eastAsia" w:ascii="仿宋" w:hAnsi="仿宋" w:eastAsia="仿宋" w:cs="仿宋"/>
                <w:sz w:val="28"/>
                <w:szCs w:val="28"/>
                <w:highlight w:val="none"/>
              </w:rPr>
            </w:pPr>
          </w:p>
        </w:tc>
      </w:tr>
      <w:tr w14:paraId="0B9BA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3571DF5">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48749D7">
            <w:pPr>
              <w:topLinePunct/>
              <w:spacing w:line="440" w:lineRule="exact"/>
              <w:jc w:val="center"/>
              <w:rPr>
                <w:rFonts w:hint="eastAsia" w:ascii="仿宋" w:hAnsi="仿宋" w:eastAsia="仿宋" w:cs="仿宋"/>
                <w:sz w:val="28"/>
                <w:szCs w:val="28"/>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C79B92">
            <w:pPr>
              <w:topLinePunct/>
              <w:spacing w:line="440" w:lineRule="exact"/>
              <w:jc w:val="center"/>
              <w:rPr>
                <w:rFonts w:hint="eastAsia" w:ascii="仿宋" w:hAnsi="仿宋" w:eastAsia="仿宋" w:cs="仿宋"/>
                <w:sz w:val="28"/>
                <w:szCs w:val="28"/>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371C2D0">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2BE87E4">
            <w:pPr>
              <w:topLinePunct/>
              <w:spacing w:line="440" w:lineRule="exact"/>
              <w:jc w:val="center"/>
              <w:rPr>
                <w:rFonts w:hint="eastAsia" w:ascii="仿宋" w:hAnsi="仿宋" w:eastAsia="仿宋" w:cs="仿宋"/>
                <w:sz w:val="28"/>
                <w:szCs w:val="28"/>
                <w:highlight w:val="none"/>
              </w:rPr>
            </w:pPr>
          </w:p>
        </w:tc>
      </w:tr>
      <w:tr w14:paraId="337C9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7E9AD6">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00D0D52">
            <w:pPr>
              <w:topLinePunct/>
              <w:spacing w:line="440" w:lineRule="exact"/>
              <w:jc w:val="center"/>
              <w:rPr>
                <w:rFonts w:hint="eastAsia" w:ascii="仿宋" w:hAnsi="仿宋" w:eastAsia="仿宋" w:cs="仿宋"/>
                <w:sz w:val="28"/>
                <w:szCs w:val="28"/>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1145B90">
            <w:pPr>
              <w:topLinePunct/>
              <w:spacing w:line="440" w:lineRule="exact"/>
              <w:jc w:val="center"/>
              <w:rPr>
                <w:rFonts w:hint="eastAsia" w:ascii="仿宋" w:hAnsi="仿宋" w:eastAsia="仿宋" w:cs="仿宋"/>
                <w:sz w:val="28"/>
                <w:szCs w:val="28"/>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D8EA0D9">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2E47D7C">
            <w:pPr>
              <w:topLinePunct/>
              <w:spacing w:line="440" w:lineRule="exact"/>
              <w:jc w:val="center"/>
              <w:rPr>
                <w:rFonts w:hint="eastAsia" w:ascii="仿宋" w:hAnsi="仿宋" w:eastAsia="仿宋" w:cs="仿宋"/>
                <w:sz w:val="28"/>
                <w:szCs w:val="28"/>
                <w:highlight w:val="none"/>
              </w:rPr>
            </w:pPr>
          </w:p>
        </w:tc>
      </w:tr>
      <w:tr w14:paraId="2CD89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36A8F9D">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00FC84">
            <w:pPr>
              <w:topLinePunct/>
              <w:spacing w:line="440" w:lineRule="exact"/>
              <w:jc w:val="center"/>
              <w:rPr>
                <w:rFonts w:hint="eastAsia" w:ascii="仿宋" w:hAnsi="仿宋" w:eastAsia="仿宋" w:cs="仿宋"/>
                <w:sz w:val="28"/>
                <w:szCs w:val="28"/>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EC9465B">
            <w:pPr>
              <w:topLinePunct/>
              <w:spacing w:line="440" w:lineRule="exact"/>
              <w:jc w:val="center"/>
              <w:rPr>
                <w:rFonts w:hint="eastAsia" w:ascii="仿宋" w:hAnsi="仿宋" w:eastAsia="仿宋" w:cs="仿宋"/>
                <w:sz w:val="28"/>
                <w:szCs w:val="28"/>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F49549D">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2424013">
            <w:pPr>
              <w:topLinePunct/>
              <w:spacing w:line="440" w:lineRule="exact"/>
              <w:jc w:val="center"/>
              <w:rPr>
                <w:rFonts w:hint="eastAsia" w:ascii="仿宋" w:hAnsi="仿宋" w:eastAsia="仿宋" w:cs="仿宋"/>
                <w:sz w:val="28"/>
                <w:szCs w:val="28"/>
                <w:highlight w:val="none"/>
              </w:rPr>
            </w:pPr>
          </w:p>
        </w:tc>
      </w:tr>
      <w:tr w14:paraId="40211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90A8384">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4AC7F7">
            <w:pPr>
              <w:topLinePunct/>
              <w:spacing w:line="440" w:lineRule="exact"/>
              <w:jc w:val="center"/>
              <w:rPr>
                <w:rFonts w:hint="eastAsia" w:ascii="仿宋" w:hAnsi="仿宋" w:eastAsia="仿宋" w:cs="仿宋"/>
                <w:sz w:val="28"/>
                <w:szCs w:val="28"/>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9B945AA">
            <w:pPr>
              <w:topLinePunct/>
              <w:spacing w:line="440" w:lineRule="exact"/>
              <w:jc w:val="center"/>
              <w:rPr>
                <w:rFonts w:hint="eastAsia" w:ascii="仿宋" w:hAnsi="仿宋" w:eastAsia="仿宋" w:cs="仿宋"/>
                <w:sz w:val="28"/>
                <w:szCs w:val="28"/>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259A0AD">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3529C7A">
            <w:pPr>
              <w:topLinePunct/>
              <w:spacing w:line="440" w:lineRule="exact"/>
              <w:jc w:val="center"/>
              <w:rPr>
                <w:rFonts w:hint="eastAsia" w:ascii="仿宋" w:hAnsi="仿宋" w:eastAsia="仿宋" w:cs="仿宋"/>
                <w:sz w:val="28"/>
                <w:szCs w:val="28"/>
                <w:highlight w:val="none"/>
              </w:rPr>
            </w:pPr>
          </w:p>
        </w:tc>
      </w:tr>
      <w:tr w14:paraId="25FDF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1728" w:type="dxa"/>
            <w:tcBorders>
              <w:top w:val="single" w:color="auto" w:sz="4" w:space="0"/>
              <w:left w:val="single" w:color="auto" w:sz="4" w:space="0"/>
              <w:right w:val="single" w:color="auto" w:sz="4" w:space="0"/>
            </w:tcBorders>
            <w:vAlign w:val="center"/>
          </w:tcPr>
          <w:p w14:paraId="5DBEE367">
            <w:pPr>
              <w:topLinePunct/>
              <w:spacing w:line="440" w:lineRule="exact"/>
              <w:ind w:firstLine="280" w:firstLineChars="1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0A5B68E6">
            <w:pPr>
              <w:topLinePunct/>
              <w:spacing w:line="440" w:lineRule="exact"/>
              <w:rPr>
                <w:rFonts w:hint="eastAsia" w:ascii="仿宋" w:hAnsi="仿宋" w:eastAsia="仿宋" w:cs="仿宋"/>
                <w:sz w:val="28"/>
                <w:szCs w:val="28"/>
                <w:highlight w:val="none"/>
              </w:rPr>
            </w:pPr>
          </w:p>
        </w:tc>
      </w:tr>
      <w:tr w14:paraId="7D8B6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A22B167">
            <w:pPr>
              <w:topLinePunct/>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D70D474">
            <w:pPr>
              <w:topLinePunct/>
              <w:spacing w:line="440" w:lineRule="exact"/>
              <w:jc w:val="center"/>
              <w:rPr>
                <w:rFonts w:hint="eastAsia" w:ascii="仿宋" w:hAnsi="仿宋" w:eastAsia="仿宋" w:cs="仿宋"/>
                <w:sz w:val="28"/>
                <w:szCs w:val="28"/>
                <w:highlight w:val="none"/>
              </w:rPr>
            </w:pPr>
          </w:p>
        </w:tc>
      </w:tr>
    </w:tbl>
    <w:p w14:paraId="234311BC">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附：营业执照、资质证书等企业相关资格评审资料</w:t>
      </w:r>
    </w:p>
    <w:p w14:paraId="2531331D">
      <w:pPr>
        <w:spacing w:line="360" w:lineRule="auto"/>
        <w:ind w:left="480" w:firstLine="562" w:firstLineChars="200"/>
        <w:jc w:val="center"/>
        <w:rPr>
          <w:rFonts w:hint="eastAsia" w:ascii="仿宋" w:hAnsi="仿宋" w:eastAsia="仿宋" w:cs="仿宋"/>
          <w:b/>
          <w:sz w:val="28"/>
          <w:szCs w:val="28"/>
          <w:highlight w:val="none"/>
        </w:rPr>
      </w:pPr>
      <w:bookmarkStart w:id="1139" w:name="_Toc29149"/>
      <w:bookmarkStart w:id="1140" w:name="_Toc152045810"/>
      <w:bookmarkStart w:id="1141" w:name="_Toc300835226"/>
      <w:bookmarkStart w:id="1142" w:name="_Toc11892"/>
      <w:bookmarkStart w:id="1143" w:name="_Toc247527850"/>
      <w:bookmarkStart w:id="1144" w:name="_Toc247514302"/>
      <w:bookmarkStart w:id="1145" w:name="_Toc152042599"/>
      <w:bookmarkStart w:id="1146" w:name="_Toc144974878"/>
      <w:r>
        <w:rPr>
          <w:rFonts w:hint="eastAsia" w:ascii="仿宋" w:hAnsi="仿宋" w:eastAsia="仿宋" w:cs="仿宋"/>
          <w:b/>
          <w:sz w:val="28"/>
          <w:szCs w:val="28"/>
          <w:highlight w:val="none"/>
        </w:rPr>
        <w:br w:type="page"/>
      </w:r>
      <w:bookmarkEnd w:id="1139"/>
      <w:bookmarkEnd w:id="1140"/>
      <w:bookmarkEnd w:id="1141"/>
      <w:bookmarkEnd w:id="1142"/>
      <w:bookmarkEnd w:id="1143"/>
      <w:bookmarkEnd w:id="1144"/>
      <w:bookmarkEnd w:id="1145"/>
      <w:bookmarkEnd w:id="1146"/>
      <w:r>
        <w:rPr>
          <w:rFonts w:hint="eastAsia" w:ascii="仿宋" w:hAnsi="仿宋" w:eastAsia="仿宋" w:cs="仿宋"/>
          <w:b/>
          <w:sz w:val="28"/>
          <w:szCs w:val="28"/>
          <w:highlight w:val="none"/>
        </w:rPr>
        <w:t>2、项目管理机构组成表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73"/>
        <w:gridCol w:w="1073"/>
        <w:gridCol w:w="1626"/>
        <w:gridCol w:w="1060"/>
        <w:gridCol w:w="1060"/>
        <w:gridCol w:w="1061"/>
        <w:gridCol w:w="1274"/>
      </w:tblGrid>
      <w:tr w14:paraId="47C8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vMerge w:val="restart"/>
            <w:vAlign w:val="center"/>
          </w:tcPr>
          <w:p w14:paraId="722E892B">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职 务</w:t>
            </w:r>
          </w:p>
        </w:tc>
        <w:tc>
          <w:tcPr>
            <w:tcW w:w="1073" w:type="dxa"/>
            <w:vMerge w:val="restart"/>
            <w:vAlign w:val="center"/>
          </w:tcPr>
          <w:p w14:paraId="4E380721">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姓 名</w:t>
            </w:r>
          </w:p>
        </w:tc>
        <w:tc>
          <w:tcPr>
            <w:tcW w:w="1073" w:type="dxa"/>
            <w:vMerge w:val="restart"/>
            <w:vAlign w:val="center"/>
          </w:tcPr>
          <w:p w14:paraId="25E32D73">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职 称</w:t>
            </w:r>
          </w:p>
        </w:tc>
        <w:tc>
          <w:tcPr>
            <w:tcW w:w="4807" w:type="dxa"/>
            <w:gridSpan w:val="4"/>
            <w:vAlign w:val="center"/>
          </w:tcPr>
          <w:p w14:paraId="39338156">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执业或职业资格证明</w:t>
            </w:r>
          </w:p>
        </w:tc>
        <w:tc>
          <w:tcPr>
            <w:tcW w:w="1274" w:type="dxa"/>
            <w:vMerge w:val="restart"/>
            <w:vAlign w:val="center"/>
          </w:tcPr>
          <w:p w14:paraId="5DF0E375">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备 注</w:t>
            </w:r>
          </w:p>
        </w:tc>
      </w:tr>
      <w:tr w14:paraId="484F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vMerge w:val="continue"/>
          </w:tcPr>
          <w:p w14:paraId="0D162ED5">
            <w:pPr>
              <w:spacing w:line="360" w:lineRule="auto"/>
              <w:rPr>
                <w:rFonts w:hint="eastAsia" w:ascii="仿宋" w:hAnsi="仿宋" w:eastAsia="仿宋" w:cs="仿宋"/>
                <w:sz w:val="28"/>
                <w:szCs w:val="28"/>
                <w:highlight w:val="none"/>
              </w:rPr>
            </w:pPr>
          </w:p>
        </w:tc>
        <w:tc>
          <w:tcPr>
            <w:tcW w:w="1073" w:type="dxa"/>
            <w:vMerge w:val="continue"/>
          </w:tcPr>
          <w:p w14:paraId="177442AA">
            <w:pPr>
              <w:spacing w:line="360" w:lineRule="auto"/>
              <w:rPr>
                <w:rFonts w:hint="eastAsia" w:ascii="仿宋" w:hAnsi="仿宋" w:eastAsia="仿宋" w:cs="仿宋"/>
                <w:sz w:val="28"/>
                <w:szCs w:val="28"/>
                <w:highlight w:val="none"/>
              </w:rPr>
            </w:pPr>
          </w:p>
        </w:tc>
        <w:tc>
          <w:tcPr>
            <w:tcW w:w="1073" w:type="dxa"/>
            <w:vMerge w:val="continue"/>
          </w:tcPr>
          <w:p w14:paraId="7478787C">
            <w:pPr>
              <w:spacing w:line="360" w:lineRule="auto"/>
              <w:rPr>
                <w:rFonts w:hint="eastAsia" w:ascii="仿宋" w:hAnsi="仿宋" w:eastAsia="仿宋" w:cs="仿宋"/>
                <w:sz w:val="28"/>
                <w:szCs w:val="28"/>
                <w:highlight w:val="none"/>
              </w:rPr>
            </w:pPr>
          </w:p>
        </w:tc>
        <w:tc>
          <w:tcPr>
            <w:tcW w:w="1626" w:type="dxa"/>
            <w:vAlign w:val="center"/>
          </w:tcPr>
          <w:p w14:paraId="6D80B868">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证明名称</w:t>
            </w:r>
          </w:p>
        </w:tc>
        <w:tc>
          <w:tcPr>
            <w:tcW w:w="1060" w:type="dxa"/>
            <w:vAlign w:val="center"/>
          </w:tcPr>
          <w:p w14:paraId="25FFD2F3">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级别</w:t>
            </w:r>
          </w:p>
        </w:tc>
        <w:tc>
          <w:tcPr>
            <w:tcW w:w="1060" w:type="dxa"/>
            <w:vAlign w:val="center"/>
          </w:tcPr>
          <w:p w14:paraId="3358190F">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证 号</w:t>
            </w:r>
          </w:p>
        </w:tc>
        <w:tc>
          <w:tcPr>
            <w:tcW w:w="1061" w:type="dxa"/>
            <w:vAlign w:val="center"/>
          </w:tcPr>
          <w:p w14:paraId="2F0A5881">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专业</w:t>
            </w:r>
          </w:p>
        </w:tc>
        <w:tc>
          <w:tcPr>
            <w:tcW w:w="1274" w:type="dxa"/>
            <w:vMerge w:val="continue"/>
          </w:tcPr>
          <w:p w14:paraId="65B73F26">
            <w:pPr>
              <w:spacing w:line="360" w:lineRule="auto"/>
              <w:rPr>
                <w:rFonts w:hint="eastAsia" w:ascii="仿宋" w:hAnsi="仿宋" w:eastAsia="仿宋" w:cs="仿宋"/>
                <w:sz w:val="28"/>
                <w:szCs w:val="28"/>
                <w:highlight w:val="none"/>
              </w:rPr>
            </w:pPr>
          </w:p>
        </w:tc>
      </w:tr>
      <w:tr w14:paraId="383E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761C2CC4">
            <w:pPr>
              <w:spacing w:line="360" w:lineRule="auto"/>
              <w:rPr>
                <w:rFonts w:hint="eastAsia" w:ascii="仿宋" w:hAnsi="仿宋" w:eastAsia="仿宋" w:cs="仿宋"/>
                <w:sz w:val="28"/>
                <w:szCs w:val="28"/>
                <w:highlight w:val="none"/>
              </w:rPr>
            </w:pPr>
          </w:p>
        </w:tc>
        <w:tc>
          <w:tcPr>
            <w:tcW w:w="1073" w:type="dxa"/>
          </w:tcPr>
          <w:p w14:paraId="4C7F3672">
            <w:pPr>
              <w:spacing w:line="360" w:lineRule="auto"/>
              <w:rPr>
                <w:rFonts w:hint="eastAsia" w:ascii="仿宋" w:hAnsi="仿宋" w:eastAsia="仿宋" w:cs="仿宋"/>
                <w:sz w:val="28"/>
                <w:szCs w:val="28"/>
                <w:highlight w:val="none"/>
              </w:rPr>
            </w:pPr>
          </w:p>
        </w:tc>
        <w:tc>
          <w:tcPr>
            <w:tcW w:w="1073" w:type="dxa"/>
          </w:tcPr>
          <w:p w14:paraId="65901DE3">
            <w:pPr>
              <w:spacing w:line="360" w:lineRule="auto"/>
              <w:rPr>
                <w:rFonts w:hint="eastAsia" w:ascii="仿宋" w:hAnsi="仿宋" w:eastAsia="仿宋" w:cs="仿宋"/>
                <w:sz w:val="28"/>
                <w:szCs w:val="28"/>
                <w:highlight w:val="none"/>
              </w:rPr>
            </w:pPr>
          </w:p>
        </w:tc>
        <w:tc>
          <w:tcPr>
            <w:tcW w:w="1626" w:type="dxa"/>
          </w:tcPr>
          <w:p w14:paraId="10D721AF">
            <w:pPr>
              <w:spacing w:line="360" w:lineRule="auto"/>
              <w:rPr>
                <w:rFonts w:hint="eastAsia" w:ascii="仿宋" w:hAnsi="仿宋" w:eastAsia="仿宋" w:cs="仿宋"/>
                <w:sz w:val="28"/>
                <w:szCs w:val="28"/>
                <w:highlight w:val="none"/>
              </w:rPr>
            </w:pPr>
          </w:p>
        </w:tc>
        <w:tc>
          <w:tcPr>
            <w:tcW w:w="1060" w:type="dxa"/>
          </w:tcPr>
          <w:p w14:paraId="14968D1A">
            <w:pPr>
              <w:spacing w:line="360" w:lineRule="auto"/>
              <w:rPr>
                <w:rFonts w:hint="eastAsia" w:ascii="仿宋" w:hAnsi="仿宋" w:eastAsia="仿宋" w:cs="仿宋"/>
                <w:sz w:val="28"/>
                <w:szCs w:val="28"/>
                <w:highlight w:val="none"/>
              </w:rPr>
            </w:pPr>
          </w:p>
        </w:tc>
        <w:tc>
          <w:tcPr>
            <w:tcW w:w="1060" w:type="dxa"/>
          </w:tcPr>
          <w:p w14:paraId="48B5B582">
            <w:pPr>
              <w:spacing w:line="360" w:lineRule="auto"/>
              <w:rPr>
                <w:rFonts w:hint="eastAsia" w:ascii="仿宋" w:hAnsi="仿宋" w:eastAsia="仿宋" w:cs="仿宋"/>
                <w:sz w:val="28"/>
                <w:szCs w:val="28"/>
                <w:highlight w:val="none"/>
              </w:rPr>
            </w:pPr>
          </w:p>
        </w:tc>
        <w:tc>
          <w:tcPr>
            <w:tcW w:w="1061" w:type="dxa"/>
          </w:tcPr>
          <w:p w14:paraId="36AF212B">
            <w:pPr>
              <w:spacing w:line="360" w:lineRule="auto"/>
              <w:rPr>
                <w:rFonts w:hint="eastAsia" w:ascii="仿宋" w:hAnsi="仿宋" w:eastAsia="仿宋" w:cs="仿宋"/>
                <w:sz w:val="28"/>
                <w:szCs w:val="28"/>
                <w:highlight w:val="none"/>
              </w:rPr>
            </w:pPr>
          </w:p>
        </w:tc>
        <w:tc>
          <w:tcPr>
            <w:tcW w:w="1274" w:type="dxa"/>
          </w:tcPr>
          <w:p w14:paraId="6C322346">
            <w:pPr>
              <w:spacing w:line="360" w:lineRule="auto"/>
              <w:rPr>
                <w:rFonts w:hint="eastAsia" w:ascii="仿宋" w:hAnsi="仿宋" w:eastAsia="仿宋" w:cs="仿宋"/>
                <w:sz w:val="28"/>
                <w:szCs w:val="28"/>
                <w:highlight w:val="none"/>
              </w:rPr>
            </w:pPr>
          </w:p>
        </w:tc>
      </w:tr>
      <w:tr w14:paraId="091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318A818A">
            <w:pPr>
              <w:spacing w:line="360" w:lineRule="auto"/>
              <w:rPr>
                <w:rFonts w:hint="eastAsia" w:ascii="仿宋" w:hAnsi="仿宋" w:eastAsia="仿宋" w:cs="仿宋"/>
                <w:sz w:val="28"/>
                <w:szCs w:val="28"/>
                <w:highlight w:val="none"/>
              </w:rPr>
            </w:pPr>
          </w:p>
        </w:tc>
        <w:tc>
          <w:tcPr>
            <w:tcW w:w="1073" w:type="dxa"/>
          </w:tcPr>
          <w:p w14:paraId="4D3A2763">
            <w:pPr>
              <w:spacing w:line="360" w:lineRule="auto"/>
              <w:rPr>
                <w:rFonts w:hint="eastAsia" w:ascii="仿宋" w:hAnsi="仿宋" w:eastAsia="仿宋" w:cs="仿宋"/>
                <w:sz w:val="28"/>
                <w:szCs w:val="28"/>
                <w:highlight w:val="none"/>
              </w:rPr>
            </w:pPr>
          </w:p>
        </w:tc>
        <w:tc>
          <w:tcPr>
            <w:tcW w:w="1073" w:type="dxa"/>
          </w:tcPr>
          <w:p w14:paraId="675DA8DE">
            <w:pPr>
              <w:spacing w:line="360" w:lineRule="auto"/>
              <w:rPr>
                <w:rFonts w:hint="eastAsia" w:ascii="仿宋" w:hAnsi="仿宋" w:eastAsia="仿宋" w:cs="仿宋"/>
                <w:sz w:val="28"/>
                <w:szCs w:val="28"/>
                <w:highlight w:val="none"/>
              </w:rPr>
            </w:pPr>
          </w:p>
        </w:tc>
        <w:tc>
          <w:tcPr>
            <w:tcW w:w="1626" w:type="dxa"/>
          </w:tcPr>
          <w:p w14:paraId="6BF18FAF">
            <w:pPr>
              <w:spacing w:line="360" w:lineRule="auto"/>
              <w:rPr>
                <w:rFonts w:hint="eastAsia" w:ascii="仿宋" w:hAnsi="仿宋" w:eastAsia="仿宋" w:cs="仿宋"/>
                <w:sz w:val="28"/>
                <w:szCs w:val="28"/>
                <w:highlight w:val="none"/>
              </w:rPr>
            </w:pPr>
          </w:p>
        </w:tc>
        <w:tc>
          <w:tcPr>
            <w:tcW w:w="1060" w:type="dxa"/>
          </w:tcPr>
          <w:p w14:paraId="4DF97EF2">
            <w:pPr>
              <w:spacing w:line="360" w:lineRule="auto"/>
              <w:rPr>
                <w:rFonts w:hint="eastAsia" w:ascii="仿宋" w:hAnsi="仿宋" w:eastAsia="仿宋" w:cs="仿宋"/>
                <w:sz w:val="28"/>
                <w:szCs w:val="28"/>
                <w:highlight w:val="none"/>
              </w:rPr>
            </w:pPr>
          </w:p>
        </w:tc>
        <w:tc>
          <w:tcPr>
            <w:tcW w:w="1060" w:type="dxa"/>
          </w:tcPr>
          <w:p w14:paraId="3493517C">
            <w:pPr>
              <w:spacing w:line="360" w:lineRule="auto"/>
              <w:rPr>
                <w:rFonts w:hint="eastAsia" w:ascii="仿宋" w:hAnsi="仿宋" w:eastAsia="仿宋" w:cs="仿宋"/>
                <w:sz w:val="28"/>
                <w:szCs w:val="28"/>
                <w:highlight w:val="none"/>
              </w:rPr>
            </w:pPr>
          </w:p>
        </w:tc>
        <w:tc>
          <w:tcPr>
            <w:tcW w:w="1061" w:type="dxa"/>
          </w:tcPr>
          <w:p w14:paraId="0823E02B">
            <w:pPr>
              <w:spacing w:line="360" w:lineRule="auto"/>
              <w:rPr>
                <w:rFonts w:hint="eastAsia" w:ascii="仿宋" w:hAnsi="仿宋" w:eastAsia="仿宋" w:cs="仿宋"/>
                <w:sz w:val="28"/>
                <w:szCs w:val="28"/>
                <w:highlight w:val="none"/>
              </w:rPr>
            </w:pPr>
          </w:p>
        </w:tc>
        <w:tc>
          <w:tcPr>
            <w:tcW w:w="1274" w:type="dxa"/>
          </w:tcPr>
          <w:p w14:paraId="46E46689">
            <w:pPr>
              <w:spacing w:line="360" w:lineRule="auto"/>
              <w:rPr>
                <w:rFonts w:hint="eastAsia" w:ascii="仿宋" w:hAnsi="仿宋" w:eastAsia="仿宋" w:cs="仿宋"/>
                <w:sz w:val="28"/>
                <w:szCs w:val="28"/>
                <w:highlight w:val="none"/>
              </w:rPr>
            </w:pPr>
          </w:p>
        </w:tc>
      </w:tr>
      <w:tr w14:paraId="5702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1B6B8D8D">
            <w:pPr>
              <w:spacing w:line="360" w:lineRule="auto"/>
              <w:rPr>
                <w:rFonts w:hint="eastAsia" w:ascii="仿宋" w:hAnsi="仿宋" w:eastAsia="仿宋" w:cs="仿宋"/>
                <w:sz w:val="28"/>
                <w:szCs w:val="28"/>
                <w:highlight w:val="none"/>
              </w:rPr>
            </w:pPr>
          </w:p>
        </w:tc>
        <w:tc>
          <w:tcPr>
            <w:tcW w:w="1073" w:type="dxa"/>
          </w:tcPr>
          <w:p w14:paraId="33BF3D4E">
            <w:pPr>
              <w:spacing w:line="360" w:lineRule="auto"/>
              <w:rPr>
                <w:rFonts w:hint="eastAsia" w:ascii="仿宋" w:hAnsi="仿宋" w:eastAsia="仿宋" w:cs="仿宋"/>
                <w:sz w:val="28"/>
                <w:szCs w:val="28"/>
                <w:highlight w:val="none"/>
              </w:rPr>
            </w:pPr>
          </w:p>
        </w:tc>
        <w:tc>
          <w:tcPr>
            <w:tcW w:w="1073" w:type="dxa"/>
          </w:tcPr>
          <w:p w14:paraId="1B0A02F3">
            <w:pPr>
              <w:spacing w:line="360" w:lineRule="auto"/>
              <w:rPr>
                <w:rFonts w:hint="eastAsia" w:ascii="仿宋" w:hAnsi="仿宋" w:eastAsia="仿宋" w:cs="仿宋"/>
                <w:sz w:val="28"/>
                <w:szCs w:val="28"/>
                <w:highlight w:val="none"/>
              </w:rPr>
            </w:pPr>
          </w:p>
        </w:tc>
        <w:tc>
          <w:tcPr>
            <w:tcW w:w="1626" w:type="dxa"/>
          </w:tcPr>
          <w:p w14:paraId="50C4DB42">
            <w:pPr>
              <w:spacing w:line="360" w:lineRule="auto"/>
              <w:rPr>
                <w:rFonts w:hint="eastAsia" w:ascii="仿宋" w:hAnsi="仿宋" w:eastAsia="仿宋" w:cs="仿宋"/>
                <w:sz w:val="28"/>
                <w:szCs w:val="28"/>
                <w:highlight w:val="none"/>
              </w:rPr>
            </w:pPr>
          </w:p>
        </w:tc>
        <w:tc>
          <w:tcPr>
            <w:tcW w:w="1060" w:type="dxa"/>
          </w:tcPr>
          <w:p w14:paraId="7E3488D5">
            <w:pPr>
              <w:spacing w:line="360" w:lineRule="auto"/>
              <w:rPr>
                <w:rFonts w:hint="eastAsia" w:ascii="仿宋" w:hAnsi="仿宋" w:eastAsia="仿宋" w:cs="仿宋"/>
                <w:sz w:val="28"/>
                <w:szCs w:val="28"/>
                <w:highlight w:val="none"/>
              </w:rPr>
            </w:pPr>
          </w:p>
        </w:tc>
        <w:tc>
          <w:tcPr>
            <w:tcW w:w="1060" w:type="dxa"/>
          </w:tcPr>
          <w:p w14:paraId="5BD70202">
            <w:pPr>
              <w:spacing w:line="360" w:lineRule="auto"/>
              <w:rPr>
                <w:rFonts w:hint="eastAsia" w:ascii="仿宋" w:hAnsi="仿宋" w:eastAsia="仿宋" w:cs="仿宋"/>
                <w:sz w:val="28"/>
                <w:szCs w:val="28"/>
                <w:highlight w:val="none"/>
              </w:rPr>
            </w:pPr>
          </w:p>
        </w:tc>
        <w:tc>
          <w:tcPr>
            <w:tcW w:w="1061" w:type="dxa"/>
          </w:tcPr>
          <w:p w14:paraId="25361382">
            <w:pPr>
              <w:spacing w:line="360" w:lineRule="auto"/>
              <w:rPr>
                <w:rFonts w:hint="eastAsia" w:ascii="仿宋" w:hAnsi="仿宋" w:eastAsia="仿宋" w:cs="仿宋"/>
                <w:sz w:val="28"/>
                <w:szCs w:val="28"/>
                <w:highlight w:val="none"/>
              </w:rPr>
            </w:pPr>
          </w:p>
        </w:tc>
        <w:tc>
          <w:tcPr>
            <w:tcW w:w="1274" w:type="dxa"/>
          </w:tcPr>
          <w:p w14:paraId="2A4C3A17">
            <w:pPr>
              <w:spacing w:line="360" w:lineRule="auto"/>
              <w:rPr>
                <w:rFonts w:hint="eastAsia" w:ascii="仿宋" w:hAnsi="仿宋" w:eastAsia="仿宋" w:cs="仿宋"/>
                <w:sz w:val="28"/>
                <w:szCs w:val="28"/>
                <w:highlight w:val="none"/>
              </w:rPr>
            </w:pPr>
          </w:p>
        </w:tc>
      </w:tr>
      <w:tr w14:paraId="480F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090ECC9F">
            <w:pPr>
              <w:spacing w:line="360" w:lineRule="auto"/>
              <w:rPr>
                <w:rFonts w:hint="eastAsia" w:ascii="仿宋" w:hAnsi="仿宋" w:eastAsia="仿宋" w:cs="仿宋"/>
                <w:sz w:val="28"/>
                <w:szCs w:val="28"/>
                <w:highlight w:val="none"/>
              </w:rPr>
            </w:pPr>
          </w:p>
        </w:tc>
        <w:tc>
          <w:tcPr>
            <w:tcW w:w="1073" w:type="dxa"/>
          </w:tcPr>
          <w:p w14:paraId="0B5A6476">
            <w:pPr>
              <w:spacing w:line="360" w:lineRule="auto"/>
              <w:rPr>
                <w:rFonts w:hint="eastAsia" w:ascii="仿宋" w:hAnsi="仿宋" w:eastAsia="仿宋" w:cs="仿宋"/>
                <w:sz w:val="28"/>
                <w:szCs w:val="28"/>
                <w:highlight w:val="none"/>
              </w:rPr>
            </w:pPr>
          </w:p>
        </w:tc>
        <w:tc>
          <w:tcPr>
            <w:tcW w:w="1073" w:type="dxa"/>
          </w:tcPr>
          <w:p w14:paraId="09B2411A">
            <w:pPr>
              <w:spacing w:line="360" w:lineRule="auto"/>
              <w:rPr>
                <w:rFonts w:hint="eastAsia" w:ascii="仿宋" w:hAnsi="仿宋" w:eastAsia="仿宋" w:cs="仿宋"/>
                <w:sz w:val="28"/>
                <w:szCs w:val="28"/>
                <w:highlight w:val="none"/>
              </w:rPr>
            </w:pPr>
          </w:p>
        </w:tc>
        <w:tc>
          <w:tcPr>
            <w:tcW w:w="1626" w:type="dxa"/>
          </w:tcPr>
          <w:p w14:paraId="7575CA46">
            <w:pPr>
              <w:spacing w:line="360" w:lineRule="auto"/>
              <w:rPr>
                <w:rFonts w:hint="eastAsia" w:ascii="仿宋" w:hAnsi="仿宋" w:eastAsia="仿宋" w:cs="仿宋"/>
                <w:sz w:val="28"/>
                <w:szCs w:val="28"/>
                <w:highlight w:val="none"/>
              </w:rPr>
            </w:pPr>
          </w:p>
        </w:tc>
        <w:tc>
          <w:tcPr>
            <w:tcW w:w="1060" w:type="dxa"/>
          </w:tcPr>
          <w:p w14:paraId="7A4E8008">
            <w:pPr>
              <w:spacing w:line="360" w:lineRule="auto"/>
              <w:rPr>
                <w:rFonts w:hint="eastAsia" w:ascii="仿宋" w:hAnsi="仿宋" w:eastAsia="仿宋" w:cs="仿宋"/>
                <w:sz w:val="28"/>
                <w:szCs w:val="28"/>
                <w:highlight w:val="none"/>
              </w:rPr>
            </w:pPr>
          </w:p>
        </w:tc>
        <w:tc>
          <w:tcPr>
            <w:tcW w:w="1060" w:type="dxa"/>
          </w:tcPr>
          <w:p w14:paraId="47867867">
            <w:pPr>
              <w:spacing w:line="360" w:lineRule="auto"/>
              <w:rPr>
                <w:rFonts w:hint="eastAsia" w:ascii="仿宋" w:hAnsi="仿宋" w:eastAsia="仿宋" w:cs="仿宋"/>
                <w:sz w:val="28"/>
                <w:szCs w:val="28"/>
                <w:highlight w:val="none"/>
              </w:rPr>
            </w:pPr>
          </w:p>
        </w:tc>
        <w:tc>
          <w:tcPr>
            <w:tcW w:w="1061" w:type="dxa"/>
          </w:tcPr>
          <w:p w14:paraId="12A6DDE1">
            <w:pPr>
              <w:spacing w:line="360" w:lineRule="auto"/>
              <w:rPr>
                <w:rFonts w:hint="eastAsia" w:ascii="仿宋" w:hAnsi="仿宋" w:eastAsia="仿宋" w:cs="仿宋"/>
                <w:sz w:val="28"/>
                <w:szCs w:val="28"/>
                <w:highlight w:val="none"/>
              </w:rPr>
            </w:pPr>
          </w:p>
        </w:tc>
        <w:tc>
          <w:tcPr>
            <w:tcW w:w="1274" w:type="dxa"/>
          </w:tcPr>
          <w:p w14:paraId="647849C3">
            <w:pPr>
              <w:spacing w:line="360" w:lineRule="auto"/>
              <w:rPr>
                <w:rFonts w:hint="eastAsia" w:ascii="仿宋" w:hAnsi="仿宋" w:eastAsia="仿宋" w:cs="仿宋"/>
                <w:sz w:val="28"/>
                <w:szCs w:val="28"/>
                <w:highlight w:val="none"/>
              </w:rPr>
            </w:pPr>
          </w:p>
        </w:tc>
      </w:tr>
      <w:tr w14:paraId="39FD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0B25359A">
            <w:pPr>
              <w:spacing w:line="360" w:lineRule="auto"/>
              <w:rPr>
                <w:rFonts w:hint="eastAsia" w:ascii="仿宋" w:hAnsi="仿宋" w:eastAsia="仿宋" w:cs="仿宋"/>
                <w:sz w:val="28"/>
                <w:szCs w:val="28"/>
                <w:highlight w:val="none"/>
              </w:rPr>
            </w:pPr>
          </w:p>
        </w:tc>
        <w:tc>
          <w:tcPr>
            <w:tcW w:w="1073" w:type="dxa"/>
          </w:tcPr>
          <w:p w14:paraId="099A74CA">
            <w:pPr>
              <w:spacing w:line="360" w:lineRule="auto"/>
              <w:rPr>
                <w:rFonts w:hint="eastAsia" w:ascii="仿宋" w:hAnsi="仿宋" w:eastAsia="仿宋" w:cs="仿宋"/>
                <w:sz w:val="28"/>
                <w:szCs w:val="28"/>
                <w:highlight w:val="none"/>
              </w:rPr>
            </w:pPr>
          </w:p>
        </w:tc>
        <w:tc>
          <w:tcPr>
            <w:tcW w:w="1073" w:type="dxa"/>
          </w:tcPr>
          <w:p w14:paraId="50650940">
            <w:pPr>
              <w:spacing w:line="360" w:lineRule="auto"/>
              <w:rPr>
                <w:rFonts w:hint="eastAsia" w:ascii="仿宋" w:hAnsi="仿宋" w:eastAsia="仿宋" w:cs="仿宋"/>
                <w:sz w:val="28"/>
                <w:szCs w:val="28"/>
                <w:highlight w:val="none"/>
              </w:rPr>
            </w:pPr>
          </w:p>
        </w:tc>
        <w:tc>
          <w:tcPr>
            <w:tcW w:w="1626" w:type="dxa"/>
          </w:tcPr>
          <w:p w14:paraId="1B1A0C6F">
            <w:pPr>
              <w:spacing w:line="360" w:lineRule="auto"/>
              <w:rPr>
                <w:rFonts w:hint="eastAsia" w:ascii="仿宋" w:hAnsi="仿宋" w:eastAsia="仿宋" w:cs="仿宋"/>
                <w:sz w:val="28"/>
                <w:szCs w:val="28"/>
                <w:highlight w:val="none"/>
              </w:rPr>
            </w:pPr>
          </w:p>
        </w:tc>
        <w:tc>
          <w:tcPr>
            <w:tcW w:w="1060" w:type="dxa"/>
          </w:tcPr>
          <w:p w14:paraId="520CD908">
            <w:pPr>
              <w:spacing w:line="360" w:lineRule="auto"/>
              <w:rPr>
                <w:rFonts w:hint="eastAsia" w:ascii="仿宋" w:hAnsi="仿宋" w:eastAsia="仿宋" w:cs="仿宋"/>
                <w:sz w:val="28"/>
                <w:szCs w:val="28"/>
                <w:highlight w:val="none"/>
              </w:rPr>
            </w:pPr>
          </w:p>
        </w:tc>
        <w:tc>
          <w:tcPr>
            <w:tcW w:w="1060" w:type="dxa"/>
          </w:tcPr>
          <w:p w14:paraId="620980E8">
            <w:pPr>
              <w:spacing w:line="360" w:lineRule="auto"/>
              <w:rPr>
                <w:rFonts w:hint="eastAsia" w:ascii="仿宋" w:hAnsi="仿宋" w:eastAsia="仿宋" w:cs="仿宋"/>
                <w:sz w:val="28"/>
                <w:szCs w:val="28"/>
                <w:highlight w:val="none"/>
              </w:rPr>
            </w:pPr>
          </w:p>
        </w:tc>
        <w:tc>
          <w:tcPr>
            <w:tcW w:w="1061" w:type="dxa"/>
          </w:tcPr>
          <w:p w14:paraId="7856DD78">
            <w:pPr>
              <w:spacing w:line="360" w:lineRule="auto"/>
              <w:rPr>
                <w:rFonts w:hint="eastAsia" w:ascii="仿宋" w:hAnsi="仿宋" w:eastAsia="仿宋" w:cs="仿宋"/>
                <w:sz w:val="28"/>
                <w:szCs w:val="28"/>
                <w:highlight w:val="none"/>
              </w:rPr>
            </w:pPr>
          </w:p>
        </w:tc>
        <w:tc>
          <w:tcPr>
            <w:tcW w:w="1274" w:type="dxa"/>
          </w:tcPr>
          <w:p w14:paraId="4B629B56">
            <w:pPr>
              <w:spacing w:line="360" w:lineRule="auto"/>
              <w:rPr>
                <w:rFonts w:hint="eastAsia" w:ascii="仿宋" w:hAnsi="仿宋" w:eastAsia="仿宋" w:cs="仿宋"/>
                <w:sz w:val="28"/>
                <w:szCs w:val="28"/>
                <w:highlight w:val="none"/>
              </w:rPr>
            </w:pPr>
          </w:p>
        </w:tc>
      </w:tr>
      <w:tr w14:paraId="6A36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6535A453">
            <w:pPr>
              <w:spacing w:line="360" w:lineRule="auto"/>
              <w:rPr>
                <w:rFonts w:hint="eastAsia" w:ascii="仿宋" w:hAnsi="仿宋" w:eastAsia="仿宋" w:cs="仿宋"/>
                <w:sz w:val="28"/>
                <w:szCs w:val="28"/>
                <w:highlight w:val="none"/>
              </w:rPr>
            </w:pPr>
          </w:p>
        </w:tc>
        <w:tc>
          <w:tcPr>
            <w:tcW w:w="1073" w:type="dxa"/>
          </w:tcPr>
          <w:p w14:paraId="7C427870">
            <w:pPr>
              <w:spacing w:line="360" w:lineRule="auto"/>
              <w:rPr>
                <w:rFonts w:hint="eastAsia" w:ascii="仿宋" w:hAnsi="仿宋" w:eastAsia="仿宋" w:cs="仿宋"/>
                <w:sz w:val="28"/>
                <w:szCs w:val="28"/>
                <w:highlight w:val="none"/>
              </w:rPr>
            </w:pPr>
          </w:p>
        </w:tc>
        <w:tc>
          <w:tcPr>
            <w:tcW w:w="1073" w:type="dxa"/>
          </w:tcPr>
          <w:p w14:paraId="01F1BDD5">
            <w:pPr>
              <w:spacing w:line="360" w:lineRule="auto"/>
              <w:rPr>
                <w:rFonts w:hint="eastAsia" w:ascii="仿宋" w:hAnsi="仿宋" w:eastAsia="仿宋" w:cs="仿宋"/>
                <w:sz w:val="28"/>
                <w:szCs w:val="28"/>
                <w:highlight w:val="none"/>
              </w:rPr>
            </w:pPr>
          </w:p>
        </w:tc>
        <w:tc>
          <w:tcPr>
            <w:tcW w:w="1626" w:type="dxa"/>
          </w:tcPr>
          <w:p w14:paraId="30FEDF43">
            <w:pPr>
              <w:spacing w:line="360" w:lineRule="auto"/>
              <w:rPr>
                <w:rFonts w:hint="eastAsia" w:ascii="仿宋" w:hAnsi="仿宋" w:eastAsia="仿宋" w:cs="仿宋"/>
                <w:sz w:val="28"/>
                <w:szCs w:val="28"/>
                <w:highlight w:val="none"/>
              </w:rPr>
            </w:pPr>
          </w:p>
        </w:tc>
        <w:tc>
          <w:tcPr>
            <w:tcW w:w="1060" w:type="dxa"/>
          </w:tcPr>
          <w:p w14:paraId="160A4A54">
            <w:pPr>
              <w:spacing w:line="360" w:lineRule="auto"/>
              <w:rPr>
                <w:rFonts w:hint="eastAsia" w:ascii="仿宋" w:hAnsi="仿宋" w:eastAsia="仿宋" w:cs="仿宋"/>
                <w:sz w:val="28"/>
                <w:szCs w:val="28"/>
                <w:highlight w:val="none"/>
              </w:rPr>
            </w:pPr>
          </w:p>
        </w:tc>
        <w:tc>
          <w:tcPr>
            <w:tcW w:w="1060" w:type="dxa"/>
          </w:tcPr>
          <w:p w14:paraId="462A54A6">
            <w:pPr>
              <w:spacing w:line="360" w:lineRule="auto"/>
              <w:rPr>
                <w:rFonts w:hint="eastAsia" w:ascii="仿宋" w:hAnsi="仿宋" w:eastAsia="仿宋" w:cs="仿宋"/>
                <w:sz w:val="28"/>
                <w:szCs w:val="28"/>
                <w:highlight w:val="none"/>
              </w:rPr>
            </w:pPr>
          </w:p>
        </w:tc>
        <w:tc>
          <w:tcPr>
            <w:tcW w:w="1061" w:type="dxa"/>
          </w:tcPr>
          <w:p w14:paraId="7A50D6B5">
            <w:pPr>
              <w:spacing w:line="360" w:lineRule="auto"/>
              <w:rPr>
                <w:rFonts w:hint="eastAsia" w:ascii="仿宋" w:hAnsi="仿宋" w:eastAsia="仿宋" w:cs="仿宋"/>
                <w:sz w:val="28"/>
                <w:szCs w:val="28"/>
                <w:highlight w:val="none"/>
              </w:rPr>
            </w:pPr>
          </w:p>
        </w:tc>
        <w:tc>
          <w:tcPr>
            <w:tcW w:w="1274" w:type="dxa"/>
          </w:tcPr>
          <w:p w14:paraId="60FF2281">
            <w:pPr>
              <w:spacing w:line="360" w:lineRule="auto"/>
              <w:rPr>
                <w:rFonts w:hint="eastAsia" w:ascii="仿宋" w:hAnsi="仿宋" w:eastAsia="仿宋" w:cs="仿宋"/>
                <w:sz w:val="28"/>
                <w:szCs w:val="28"/>
                <w:highlight w:val="none"/>
              </w:rPr>
            </w:pPr>
          </w:p>
        </w:tc>
      </w:tr>
      <w:tr w14:paraId="543C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52E291F3">
            <w:pPr>
              <w:spacing w:line="360" w:lineRule="auto"/>
              <w:rPr>
                <w:rFonts w:hint="eastAsia" w:ascii="仿宋" w:hAnsi="仿宋" w:eastAsia="仿宋" w:cs="仿宋"/>
                <w:sz w:val="28"/>
                <w:szCs w:val="28"/>
                <w:highlight w:val="none"/>
              </w:rPr>
            </w:pPr>
          </w:p>
        </w:tc>
        <w:tc>
          <w:tcPr>
            <w:tcW w:w="1073" w:type="dxa"/>
          </w:tcPr>
          <w:p w14:paraId="10BB8523">
            <w:pPr>
              <w:spacing w:line="360" w:lineRule="auto"/>
              <w:rPr>
                <w:rFonts w:hint="eastAsia" w:ascii="仿宋" w:hAnsi="仿宋" w:eastAsia="仿宋" w:cs="仿宋"/>
                <w:sz w:val="28"/>
                <w:szCs w:val="28"/>
                <w:highlight w:val="none"/>
              </w:rPr>
            </w:pPr>
          </w:p>
        </w:tc>
        <w:tc>
          <w:tcPr>
            <w:tcW w:w="1073" w:type="dxa"/>
          </w:tcPr>
          <w:p w14:paraId="0B964B9A">
            <w:pPr>
              <w:spacing w:line="360" w:lineRule="auto"/>
              <w:rPr>
                <w:rFonts w:hint="eastAsia" w:ascii="仿宋" w:hAnsi="仿宋" w:eastAsia="仿宋" w:cs="仿宋"/>
                <w:sz w:val="28"/>
                <w:szCs w:val="28"/>
                <w:highlight w:val="none"/>
              </w:rPr>
            </w:pPr>
          </w:p>
        </w:tc>
        <w:tc>
          <w:tcPr>
            <w:tcW w:w="1626" w:type="dxa"/>
          </w:tcPr>
          <w:p w14:paraId="583761BF">
            <w:pPr>
              <w:spacing w:line="360" w:lineRule="auto"/>
              <w:rPr>
                <w:rFonts w:hint="eastAsia" w:ascii="仿宋" w:hAnsi="仿宋" w:eastAsia="仿宋" w:cs="仿宋"/>
                <w:sz w:val="28"/>
                <w:szCs w:val="28"/>
                <w:highlight w:val="none"/>
              </w:rPr>
            </w:pPr>
          </w:p>
        </w:tc>
        <w:tc>
          <w:tcPr>
            <w:tcW w:w="1060" w:type="dxa"/>
          </w:tcPr>
          <w:p w14:paraId="006482FC">
            <w:pPr>
              <w:spacing w:line="360" w:lineRule="auto"/>
              <w:rPr>
                <w:rFonts w:hint="eastAsia" w:ascii="仿宋" w:hAnsi="仿宋" w:eastAsia="仿宋" w:cs="仿宋"/>
                <w:sz w:val="28"/>
                <w:szCs w:val="28"/>
                <w:highlight w:val="none"/>
              </w:rPr>
            </w:pPr>
          </w:p>
        </w:tc>
        <w:tc>
          <w:tcPr>
            <w:tcW w:w="1060" w:type="dxa"/>
          </w:tcPr>
          <w:p w14:paraId="016AC0BF">
            <w:pPr>
              <w:spacing w:line="360" w:lineRule="auto"/>
              <w:rPr>
                <w:rFonts w:hint="eastAsia" w:ascii="仿宋" w:hAnsi="仿宋" w:eastAsia="仿宋" w:cs="仿宋"/>
                <w:sz w:val="28"/>
                <w:szCs w:val="28"/>
                <w:highlight w:val="none"/>
              </w:rPr>
            </w:pPr>
          </w:p>
        </w:tc>
        <w:tc>
          <w:tcPr>
            <w:tcW w:w="1061" w:type="dxa"/>
          </w:tcPr>
          <w:p w14:paraId="6D1FAA07">
            <w:pPr>
              <w:spacing w:line="360" w:lineRule="auto"/>
              <w:rPr>
                <w:rFonts w:hint="eastAsia" w:ascii="仿宋" w:hAnsi="仿宋" w:eastAsia="仿宋" w:cs="仿宋"/>
                <w:sz w:val="28"/>
                <w:szCs w:val="28"/>
                <w:highlight w:val="none"/>
              </w:rPr>
            </w:pPr>
          </w:p>
        </w:tc>
        <w:tc>
          <w:tcPr>
            <w:tcW w:w="1274" w:type="dxa"/>
          </w:tcPr>
          <w:p w14:paraId="4F374161">
            <w:pPr>
              <w:spacing w:line="360" w:lineRule="auto"/>
              <w:rPr>
                <w:rFonts w:hint="eastAsia" w:ascii="仿宋" w:hAnsi="仿宋" w:eastAsia="仿宋" w:cs="仿宋"/>
                <w:sz w:val="28"/>
                <w:szCs w:val="28"/>
                <w:highlight w:val="none"/>
              </w:rPr>
            </w:pPr>
          </w:p>
        </w:tc>
      </w:tr>
      <w:tr w14:paraId="0ADB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3F83790C">
            <w:pPr>
              <w:spacing w:line="360" w:lineRule="auto"/>
              <w:rPr>
                <w:rFonts w:hint="eastAsia" w:ascii="仿宋" w:hAnsi="仿宋" w:eastAsia="仿宋" w:cs="仿宋"/>
                <w:sz w:val="28"/>
                <w:szCs w:val="28"/>
                <w:highlight w:val="none"/>
              </w:rPr>
            </w:pPr>
          </w:p>
        </w:tc>
        <w:tc>
          <w:tcPr>
            <w:tcW w:w="1073" w:type="dxa"/>
          </w:tcPr>
          <w:p w14:paraId="08D1CCE9">
            <w:pPr>
              <w:spacing w:line="360" w:lineRule="auto"/>
              <w:rPr>
                <w:rFonts w:hint="eastAsia" w:ascii="仿宋" w:hAnsi="仿宋" w:eastAsia="仿宋" w:cs="仿宋"/>
                <w:sz w:val="28"/>
                <w:szCs w:val="28"/>
                <w:highlight w:val="none"/>
              </w:rPr>
            </w:pPr>
          </w:p>
        </w:tc>
        <w:tc>
          <w:tcPr>
            <w:tcW w:w="1073" w:type="dxa"/>
          </w:tcPr>
          <w:p w14:paraId="2242EBAC">
            <w:pPr>
              <w:spacing w:line="360" w:lineRule="auto"/>
              <w:rPr>
                <w:rFonts w:hint="eastAsia" w:ascii="仿宋" w:hAnsi="仿宋" w:eastAsia="仿宋" w:cs="仿宋"/>
                <w:sz w:val="28"/>
                <w:szCs w:val="28"/>
                <w:highlight w:val="none"/>
              </w:rPr>
            </w:pPr>
          </w:p>
        </w:tc>
        <w:tc>
          <w:tcPr>
            <w:tcW w:w="1626" w:type="dxa"/>
          </w:tcPr>
          <w:p w14:paraId="6F6E60CD">
            <w:pPr>
              <w:spacing w:line="360" w:lineRule="auto"/>
              <w:rPr>
                <w:rFonts w:hint="eastAsia" w:ascii="仿宋" w:hAnsi="仿宋" w:eastAsia="仿宋" w:cs="仿宋"/>
                <w:sz w:val="28"/>
                <w:szCs w:val="28"/>
                <w:highlight w:val="none"/>
              </w:rPr>
            </w:pPr>
          </w:p>
        </w:tc>
        <w:tc>
          <w:tcPr>
            <w:tcW w:w="1060" w:type="dxa"/>
          </w:tcPr>
          <w:p w14:paraId="3489EA17">
            <w:pPr>
              <w:spacing w:line="360" w:lineRule="auto"/>
              <w:rPr>
                <w:rFonts w:hint="eastAsia" w:ascii="仿宋" w:hAnsi="仿宋" w:eastAsia="仿宋" w:cs="仿宋"/>
                <w:sz w:val="28"/>
                <w:szCs w:val="28"/>
                <w:highlight w:val="none"/>
              </w:rPr>
            </w:pPr>
          </w:p>
        </w:tc>
        <w:tc>
          <w:tcPr>
            <w:tcW w:w="1060" w:type="dxa"/>
          </w:tcPr>
          <w:p w14:paraId="6E66E6AC">
            <w:pPr>
              <w:spacing w:line="360" w:lineRule="auto"/>
              <w:rPr>
                <w:rFonts w:hint="eastAsia" w:ascii="仿宋" w:hAnsi="仿宋" w:eastAsia="仿宋" w:cs="仿宋"/>
                <w:sz w:val="28"/>
                <w:szCs w:val="28"/>
                <w:highlight w:val="none"/>
              </w:rPr>
            </w:pPr>
          </w:p>
        </w:tc>
        <w:tc>
          <w:tcPr>
            <w:tcW w:w="1061" w:type="dxa"/>
          </w:tcPr>
          <w:p w14:paraId="4F454D39">
            <w:pPr>
              <w:spacing w:line="360" w:lineRule="auto"/>
              <w:rPr>
                <w:rFonts w:hint="eastAsia" w:ascii="仿宋" w:hAnsi="仿宋" w:eastAsia="仿宋" w:cs="仿宋"/>
                <w:sz w:val="28"/>
                <w:szCs w:val="28"/>
                <w:highlight w:val="none"/>
              </w:rPr>
            </w:pPr>
          </w:p>
        </w:tc>
        <w:tc>
          <w:tcPr>
            <w:tcW w:w="1274" w:type="dxa"/>
          </w:tcPr>
          <w:p w14:paraId="441550DA">
            <w:pPr>
              <w:spacing w:line="360" w:lineRule="auto"/>
              <w:rPr>
                <w:rFonts w:hint="eastAsia" w:ascii="仿宋" w:hAnsi="仿宋" w:eastAsia="仿宋" w:cs="仿宋"/>
                <w:sz w:val="28"/>
                <w:szCs w:val="28"/>
                <w:highlight w:val="none"/>
              </w:rPr>
            </w:pPr>
          </w:p>
        </w:tc>
      </w:tr>
      <w:tr w14:paraId="7DD7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7B269EC8">
            <w:pPr>
              <w:spacing w:line="360" w:lineRule="auto"/>
              <w:rPr>
                <w:rFonts w:hint="eastAsia" w:ascii="仿宋" w:hAnsi="仿宋" w:eastAsia="仿宋" w:cs="仿宋"/>
                <w:sz w:val="28"/>
                <w:szCs w:val="28"/>
                <w:highlight w:val="none"/>
              </w:rPr>
            </w:pPr>
          </w:p>
        </w:tc>
        <w:tc>
          <w:tcPr>
            <w:tcW w:w="1073" w:type="dxa"/>
          </w:tcPr>
          <w:p w14:paraId="39E6602A">
            <w:pPr>
              <w:spacing w:line="360" w:lineRule="auto"/>
              <w:rPr>
                <w:rFonts w:hint="eastAsia" w:ascii="仿宋" w:hAnsi="仿宋" w:eastAsia="仿宋" w:cs="仿宋"/>
                <w:sz w:val="28"/>
                <w:szCs w:val="28"/>
                <w:highlight w:val="none"/>
              </w:rPr>
            </w:pPr>
          </w:p>
        </w:tc>
        <w:tc>
          <w:tcPr>
            <w:tcW w:w="1073" w:type="dxa"/>
          </w:tcPr>
          <w:p w14:paraId="7FA076EC">
            <w:pPr>
              <w:spacing w:line="360" w:lineRule="auto"/>
              <w:rPr>
                <w:rFonts w:hint="eastAsia" w:ascii="仿宋" w:hAnsi="仿宋" w:eastAsia="仿宋" w:cs="仿宋"/>
                <w:sz w:val="28"/>
                <w:szCs w:val="28"/>
                <w:highlight w:val="none"/>
              </w:rPr>
            </w:pPr>
          </w:p>
        </w:tc>
        <w:tc>
          <w:tcPr>
            <w:tcW w:w="1626" w:type="dxa"/>
          </w:tcPr>
          <w:p w14:paraId="3ECB642F">
            <w:pPr>
              <w:spacing w:line="360" w:lineRule="auto"/>
              <w:rPr>
                <w:rFonts w:hint="eastAsia" w:ascii="仿宋" w:hAnsi="仿宋" w:eastAsia="仿宋" w:cs="仿宋"/>
                <w:sz w:val="28"/>
                <w:szCs w:val="28"/>
                <w:highlight w:val="none"/>
              </w:rPr>
            </w:pPr>
          </w:p>
        </w:tc>
        <w:tc>
          <w:tcPr>
            <w:tcW w:w="1060" w:type="dxa"/>
          </w:tcPr>
          <w:p w14:paraId="19DF0856">
            <w:pPr>
              <w:spacing w:line="360" w:lineRule="auto"/>
              <w:rPr>
                <w:rFonts w:hint="eastAsia" w:ascii="仿宋" w:hAnsi="仿宋" w:eastAsia="仿宋" w:cs="仿宋"/>
                <w:sz w:val="28"/>
                <w:szCs w:val="28"/>
                <w:highlight w:val="none"/>
              </w:rPr>
            </w:pPr>
          </w:p>
        </w:tc>
        <w:tc>
          <w:tcPr>
            <w:tcW w:w="1060" w:type="dxa"/>
          </w:tcPr>
          <w:p w14:paraId="775B9D30">
            <w:pPr>
              <w:spacing w:line="360" w:lineRule="auto"/>
              <w:rPr>
                <w:rFonts w:hint="eastAsia" w:ascii="仿宋" w:hAnsi="仿宋" w:eastAsia="仿宋" w:cs="仿宋"/>
                <w:sz w:val="28"/>
                <w:szCs w:val="28"/>
                <w:highlight w:val="none"/>
              </w:rPr>
            </w:pPr>
          </w:p>
        </w:tc>
        <w:tc>
          <w:tcPr>
            <w:tcW w:w="1061" w:type="dxa"/>
          </w:tcPr>
          <w:p w14:paraId="6D90223F">
            <w:pPr>
              <w:spacing w:line="360" w:lineRule="auto"/>
              <w:rPr>
                <w:rFonts w:hint="eastAsia" w:ascii="仿宋" w:hAnsi="仿宋" w:eastAsia="仿宋" w:cs="仿宋"/>
                <w:sz w:val="28"/>
                <w:szCs w:val="28"/>
                <w:highlight w:val="none"/>
              </w:rPr>
            </w:pPr>
          </w:p>
        </w:tc>
        <w:tc>
          <w:tcPr>
            <w:tcW w:w="1274" w:type="dxa"/>
          </w:tcPr>
          <w:p w14:paraId="5200D7D6">
            <w:pPr>
              <w:spacing w:line="360" w:lineRule="auto"/>
              <w:rPr>
                <w:rFonts w:hint="eastAsia" w:ascii="仿宋" w:hAnsi="仿宋" w:eastAsia="仿宋" w:cs="仿宋"/>
                <w:sz w:val="28"/>
                <w:szCs w:val="28"/>
                <w:highlight w:val="none"/>
              </w:rPr>
            </w:pPr>
          </w:p>
        </w:tc>
      </w:tr>
      <w:tr w14:paraId="346E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119AE12E">
            <w:pPr>
              <w:spacing w:line="360" w:lineRule="auto"/>
              <w:rPr>
                <w:rFonts w:hint="eastAsia" w:ascii="仿宋" w:hAnsi="仿宋" w:eastAsia="仿宋" w:cs="仿宋"/>
                <w:sz w:val="28"/>
                <w:szCs w:val="28"/>
                <w:highlight w:val="none"/>
              </w:rPr>
            </w:pPr>
          </w:p>
        </w:tc>
        <w:tc>
          <w:tcPr>
            <w:tcW w:w="1073" w:type="dxa"/>
          </w:tcPr>
          <w:p w14:paraId="3B8018F8">
            <w:pPr>
              <w:spacing w:line="360" w:lineRule="auto"/>
              <w:rPr>
                <w:rFonts w:hint="eastAsia" w:ascii="仿宋" w:hAnsi="仿宋" w:eastAsia="仿宋" w:cs="仿宋"/>
                <w:sz w:val="28"/>
                <w:szCs w:val="28"/>
                <w:highlight w:val="none"/>
              </w:rPr>
            </w:pPr>
          </w:p>
        </w:tc>
        <w:tc>
          <w:tcPr>
            <w:tcW w:w="1073" w:type="dxa"/>
          </w:tcPr>
          <w:p w14:paraId="400178E9">
            <w:pPr>
              <w:spacing w:line="360" w:lineRule="auto"/>
              <w:rPr>
                <w:rFonts w:hint="eastAsia" w:ascii="仿宋" w:hAnsi="仿宋" w:eastAsia="仿宋" w:cs="仿宋"/>
                <w:sz w:val="28"/>
                <w:szCs w:val="28"/>
                <w:highlight w:val="none"/>
              </w:rPr>
            </w:pPr>
          </w:p>
        </w:tc>
        <w:tc>
          <w:tcPr>
            <w:tcW w:w="1626" w:type="dxa"/>
          </w:tcPr>
          <w:p w14:paraId="44451EAC">
            <w:pPr>
              <w:spacing w:line="360" w:lineRule="auto"/>
              <w:rPr>
                <w:rFonts w:hint="eastAsia" w:ascii="仿宋" w:hAnsi="仿宋" w:eastAsia="仿宋" w:cs="仿宋"/>
                <w:sz w:val="28"/>
                <w:szCs w:val="28"/>
                <w:highlight w:val="none"/>
              </w:rPr>
            </w:pPr>
          </w:p>
        </w:tc>
        <w:tc>
          <w:tcPr>
            <w:tcW w:w="1060" w:type="dxa"/>
          </w:tcPr>
          <w:p w14:paraId="56E09E6B">
            <w:pPr>
              <w:spacing w:line="360" w:lineRule="auto"/>
              <w:rPr>
                <w:rFonts w:hint="eastAsia" w:ascii="仿宋" w:hAnsi="仿宋" w:eastAsia="仿宋" w:cs="仿宋"/>
                <w:sz w:val="28"/>
                <w:szCs w:val="28"/>
                <w:highlight w:val="none"/>
              </w:rPr>
            </w:pPr>
          </w:p>
        </w:tc>
        <w:tc>
          <w:tcPr>
            <w:tcW w:w="1060" w:type="dxa"/>
          </w:tcPr>
          <w:p w14:paraId="72D727EA">
            <w:pPr>
              <w:spacing w:line="360" w:lineRule="auto"/>
              <w:rPr>
                <w:rFonts w:hint="eastAsia" w:ascii="仿宋" w:hAnsi="仿宋" w:eastAsia="仿宋" w:cs="仿宋"/>
                <w:sz w:val="28"/>
                <w:szCs w:val="28"/>
                <w:highlight w:val="none"/>
              </w:rPr>
            </w:pPr>
          </w:p>
        </w:tc>
        <w:tc>
          <w:tcPr>
            <w:tcW w:w="1061" w:type="dxa"/>
          </w:tcPr>
          <w:p w14:paraId="22D55168">
            <w:pPr>
              <w:spacing w:line="360" w:lineRule="auto"/>
              <w:rPr>
                <w:rFonts w:hint="eastAsia" w:ascii="仿宋" w:hAnsi="仿宋" w:eastAsia="仿宋" w:cs="仿宋"/>
                <w:sz w:val="28"/>
                <w:szCs w:val="28"/>
                <w:highlight w:val="none"/>
              </w:rPr>
            </w:pPr>
          </w:p>
        </w:tc>
        <w:tc>
          <w:tcPr>
            <w:tcW w:w="1274" w:type="dxa"/>
          </w:tcPr>
          <w:p w14:paraId="593FF800">
            <w:pPr>
              <w:spacing w:line="360" w:lineRule="auto"/>
              <w:rPr>
                <w:rFonts w:hint="eastAsia" w:ascii="仿宋" w:hAnsi="仿宋" w:eastAsia="仿宋" w:cs="仿宋"/>
                <w:sz w:val="28"/>
                <w:szCs w:val="28"/>
                <w:highlight w:val="none"/>
              </w:rPr>
            </w:pPr>
          </w:p>
        </w:tc>
      </w:tr>
      <w:tr w14:paraId="5847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tcPr>
          <w:p w14:paraId="786E2BBA">
            <w:pPr>
              <w:spacing w:line="360" w:lineRule="auto"/>
              <w:rPr>
                <w:rFonts w:hint="eastAsia" w:ascii="仿宋" w:hAnsi="仿宋" w:eastAsia="仿宋" w:cs="仿宋"/>
                <w:sz w:val="28"/>
                <w:szCs w:val="28"/>
                <w:highlight w:val="none"/>
              </w:rPr>
            </w:pPr>
          </w:p>
        </w:tc>
        <w:tc>
          <w:tcPr>
            <w:tcW w:w="1073" w:type="dxa"/>
          </w:tcPr>
          <w:p w14:paraId="1226E303">
            <w:pPr>
              <w:spacing w:line="360" w:lineRule="auto"/>
              <w:rPr>
                <w:rFonts w:hint="eastAsia" w:ascii="仿宋" w:hAnsi="仿宋" w:eastAsia="仿宋" w:cs="仿宋"/>
                <w:sz w:val="28"/>
                <w:szCs w:val="28"/>
                <w:highlight w:val="none"/>
              </w:rPr>
            </w:pPr>
          </w:p>
        </w:tc>
        <w:tc>
          <w:tcPr>
            <w:tcW w:w="1073" w:type="dxa"/>
          </w:tcPr>
          <w:p w14:paraId="4A6A506C">
            <w:pPr>
              <w:spacing w:line="360" w:lineRule="auto"/>
              <w:rPr>
                <w:rFonts w:hint="eastAsia" w:ascii="仿宋" w:hAnsi="仿宋" w:eastAsia="仿宋" w:cs="仿宋"/>
                <w:sz w:val="28"/>
                <w:szCs w:val="28"/>
                <w:highlight w:val="none"/>
              </w:rPr>
            </w:pPr>
          </w:p>
        </w:tc>
        <w:tc>
          <w:tcPr>
            <w:tcW w:w="1626" w:type="dxa"/>
          </w:tcPr>
          <w:p w14:paraId="03183088">
            <w:pPr>
              <w:spacing w:line="360" w:lineRule="auto"/>
              <w:rPr>
                <w:rFonts w:hint="eastAsia" w:ascii="仿宋" w:hAnsi="仿宋" w:eastAsia="仿宋" w:cs="仿宋"/>
                <w:sz w:val="28"/>
                <w:szCs w:val="28"/>
                <w:highlight w:val="none"/>
              </w:rPr>
            </w:pPr>
          </w:p>
        </w:tc>
        <w:tc>
          <w:tcPr>
            <w:tcW w:w="1060" w:type="dxa"/>
          </w:tcPr>
          <w:p w14:paraId="6E3D6431">
            <w:pPr>
              <w:spacing w:line="360" w:lineRule="auto"/>
              <w:rPr>
                <w:rFonts w:hint="eastAsia" w:ascii="仿宋" w:hAnsi="仿宋" w:eastAsia="仿宋" w:cs="仿宋"/>
                <w:sz w:val="28"/>
                <w:szCs w:val="28"/>
                <w:highlight w:val="none"/>
              </w:rPr>
            </w:pPr>
          </w:p>
        </w:tc>
        <w:tc>
          <w:tcPr>
            <w:tcW w:w="1060" w:type="dxa"/>
          </w:tcPr>
          <w:p w14:paraId="4ED6F018">
            <w:pPr>
              <w:spacing w:line="360" w:lineRule="auto"/>
              <w:rPr>
                <w:rFonts w:hint="eastAsia" w:ascii="仿宋" w:hAnsi="仿宋" w:eastAsia="仿宋" w:cs="仿宋"/>
                <w:sz w:val="28"/>
                <w:szCs w:val="28"/>
                <w:highlight w:val="none"/>
              </w:rPr>
            </w:pPr>
          </w:p>
        </w:tc>
        <w:tc>
          <w:tcPr>
            <w:tcW w:w="1061" w:type="dxa"/>
          </w:tcPr>
          <w:p w14:paraId="4CC47AB6">
            <w:pPr>
              <w:spacing w:line="360" w:lineRule="auto"/>
              <w:rPr>
                <w:rFonts w:hint="eastAsia" w:ascii="仿宋" w:hAnsi="仿宋" w:eastAsia="仿宋" w:cs="仿宋"/>
                <w:sz w:val="28"/>
                <w:szCs w:val="28"/>
                <w:highlight w:val="none"/>
              </w:rPr>
            </w:pPr>
          </w:p>
        </w:tc>
        <w:tc>
          <w:tcPr>
            <w:tcW w:w="1274" w:type="dxa"/>
          </w:tcPr>
          <w:p w14:paraId="412CF97F">
            <w:pPr>
              <w:spacing w:line="360" w:lineRule="auto"/>
              <w:rPr>
                <w:rFonts w:hint="eastAsia" w:ascii="仿宋" w:hAnsi="仿宋" w:eastAsia="仿宋" w:cs="仿宋"/>
                <w:sz w:val="28"/>
                <w:szCs w:val="28"/>
                <w:highlight w:val="none"/>
              </w:rPr>
            </w:pPr>
          </w:p>
        </w:tc>
      </w:tr>
    </w:tbl>
    <w:p w14:paraId="7423A164">
      <w:pPr>
        <w:spacing w:line="360" w:lineRule="auto"/>
        <w:rPr>
          <w:rFonts w:hint="eastAsia" w:ascii="仿宋" w:hAnsi="仿宋" w:eastAsia="仿宋" w:cs="仿宋"/>
          <w:b/>
          <w:sz w:val="28"/>
          <w:szCs w:val="28"/>
          <w:highlight w:val="none"/>
          <w:lang w:val="en-US" w:eastAsia="zh-CN"/>
        </w:rPr>
      </w:pPr>
    </w:p>
    <w:p w14:paraId="6A2B5D5F">
      <w:pPr>
        <w:spacing w:line="360" w:lineRule="auto"/>
        <w:ind w:left="480"/>
        <w:jc w:val="center"/>
        <w:rPr>
          <w:rFonts w:hint="eastAsia" w:ascii="仿宋" w:hAnsi="仿宋" w:eastAsia="仿宋" w:cs="仿宋"/>
          <w:b/>
          <w:sz w:val="28"/>
          <w:szCs w:val="28"/>
          <w:highlight w:val="none"/>
        </w:rPr>
      </w:pPr>
    </w:p>
    <w:p w14:paraId="3263670B">
      <w:pPr>
        <w:spacing w:line="360" w:lineRule="auto"/>
        <w:ind w:left="480"/>
        <w:jc w:val="center"/>
        <w:rPr>
          <w:rFonts w:hint="eastAsia" w:ascii="仿宋" w:hAnsi="仿宋" w:eastAsia="仿宋" w:cs="仿宋"/>
          <w:b/>
          <w:sz w:val="28"/>
          <w:szCs w:val="28"/>
          <w:highlight w:val="none"/>
        </w:rPr>
      </w:pPr>
    </w:p>
    <w:p w14:paraId="5050BA96">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21BFED51">
      <w:pPr>
        <w:spacing w:line="360" w:lineRule="auto"/>
        <w:ind w:left="480"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3、主要人员简历表</w:t>
      </w:r>
    </w:p>
    <w:tbl>
      <w:tblPr>
        <w:tblStyle w:val="2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2000"/>
        <w:gridCol w:w="950"/>
        <w:gridCol w:w="207"/>
        <w:gridCol w:w="1043"/>
        <w:gridCol w:w="2275"/>
        <w:gridCol w:w="1146"/>
      </w:tblGrid>
      <w:tr w14:paraId="3478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vAlign w:val="center"/>
          </w:tcPr>
          <w:p w14:paraId="3F056AF5">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2000" w:type="dxa"/>
            <w:vAlign w:val="center"/>
          </w:tcPr>
          <w:p w14:paraId="38FA7EBE">
            <w:pPr>
              <w:spacing w:line="360" w:lineRule="auto"/>
              <w:jc w:val="center"/>
              <w:rPr>
                <w:rFonts w:hint="eastAsia" w:ascii="仿宋" w:hAnsi="仿宋" w:eastAsia="仿宋" w:cs="仿宋"/>
                <w:sz w:val="28"/>
                <w:szCs w:val="28"/>
                <w:highlight w:val="none"/>
              </w:rPr>
            </w:pPr>
          </w:p>
        </w:tc>
        <w:tc>
          <w:tcPr>
            <w:tcW w:w="950" w:type="dxa"/>
            <w:vAlign w:val="center"/>
          </w:tcPr>
          <w:p w14:paraId="4432B31D">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年龄</w:t>
            </w:r>
          </w:p>
        </w:tc>
        <w:tc>
          <w:tcPr>
            <w:tcW w:w="1250" w:type="dxa"/>
            <w:gridSpan w:val="2"/>
            <w:vAlign w:val="center"/>
          </w:tcPr>
          <w:p w14:paraId="7D3FF949">
            <w:pPr>
              <w:spacing w:line="360" w:lineRule="auto"/>
              <w:jc w:val="center"/>
              <w:rPr>
                <w:rFonts w:hint="eastAsia" w:ascii="仿宋" w:hAnsi="仿宋" w:eastAsia="仿宋" w:cs="仿宋"/>
                <w:sz w:val="28"/>
                <w:szCs w:val="28"/>
                <w:highlight w:val="none"/>
              </w:rPr>
            </w:pPr>
          </w:p>
        </w:tc>
        <w:tc>
          <w:tcPr>
            <w:tcW w:w="2275" w:type="dxa"/>
            <w:vAlign w:val="center"/>
          </w:tcPr>
          <w:p w14:paraId="43C226B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学历</w:t>
            </w:r>
          </w:p>
        </w:tc>
        <w:tc>
          <w:tcPr>
            <w:tcW w:w="1146" w:type="dxa"/>
            <w:vAlign w:val="center"/>
          </w:tcPr>
          <w:p w14:paraId="05F4BB8B">
            <w:pPr>
              <w:spacing w:line="360" w:lineRule="auto"/>
              <w:jc w:val="center"/>
              <w:rPr>
                <w:rFonts w:hint="eastAsia" w:ascii="仿宋" w:hAnsi="仿宋" w:eastAsia="仿宋" w:cs="仿宋"/>
                <w:sz w:val="28"/>
                <w:szCs w:val="28"/>
                <w:highlight w:val="none"/>
              </w:rPr>
            </w:pPr>
          </w:p>
        </w:tc>
      </w:tr>
      <w:tr w14:paraId="06A2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79" w:type="dxa"/>
            <w:vAlign w:val="center"/>
          </w:tcPr>
          <w:p w14:paraId="5F77D0FF">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职称</w:t>
            </w:r>
          </w:p>
        </w:tc>
        <w:tc>
          <w:tcPr>
            <w:tcW w:w="2000" w:type="dxa"/>
            <w:vAlign w:val="center"/>
          </w:tcPr>
          <w:p w14:paraId="2C3A10A0">
            <w:pPr>
              <w:spacing w:line="360" w:lineRule="auto"/>
              <w:jc w:val="center"/>
              <w:rPr>
                <w:rFonts w:hint="eastAsia" w:ascii="仿宋" w:hAnsi="仿宋" w:eastAsia="仿宋" w:cs="仿宋"/>
                <w:sz w:val="28"/>
                <w:szCs w:val="28"/>
                <w:highlight w:val="none"/>
              </w:rPr>
            </w:pPr>
          </w:p>
        </w:tc>
        <w:tc>
          <w:tcPr>
            <w:tcW w:w="950" w:type="dxa"/>
            <w:vAlign w:val="center"/>
          </w:tcPr>
          <w:p w14:paraId="150E1E24">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职务</w:t>
            </w:r>
          </w:p>
        </w:tc>
        <w:tc>
          <w:tcPr>
            <w:tcW w:w="1250" w:type="dxa"/>
            <w:gridSpan w:val="2"/>
            <w:vAlign w:val="center"/>
          </w:tcPr>
          <w:p w14:paraId="271D7928">
            <w:pPr>
              <w:spacing w:line="360" w:lineRule="auto"/>
              <w:jc w:val="center"/>
              <w:rPr>
                <w:rFonts w:hint="eastAsia" w:ascii="仿宋" w:hAnsi="仿宋" w:eastAsia="仿宋" w:cs="仿宋"/>
                <w:sz w:val="28"/>
                <w:szCs w:val="28"/>
                <w:highlight w:val="none"/>
              </w:rPr>
            </w:pPr>
          </w:p>
        </w:tc>
        <w:tc>
          <w:tcPr>
            <w:tcW w:w="2275" w:type="dxa"/>
            <w:vAlign w:val="center"/>
          </w:tcPr>
          <w:p w14:paraId="43245DAF">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拟在本合同任职</w:t>
            </w:r>
          </w:p>
        </w:tc>
        <w:tc>
          <w:tcPr>
            <w:tcW w:w="1146" w:type="dxa"/>
            <w:vAlign w:val="center"/>
          </w:tcPr>
          <w:p w14:paraId="59AD5800">
            <w:pPr>
              <w:spacing w:line="360" w:lineRule="auto"/>
              <w:jc w:val="center"/>
              <w:rPr>
                <w:rFonts w:hint="eastAsia" w:ascii="仿宋" w:hAnsi="仿宋" w:eastAsia="仿宋" w:cs="仿宋"/>
                <w:sz w:val="28"/>
                <w:szCs w:val="28"/>
                <w:highlight w:val="none"/>
              </w:rPr>
            </w:pPr>
          </w:p>
        </w:tc>
      </w:tr>
      <w:tr w14:paraId="3B14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379" w:type="dxa"/>
            <w:gridSpan w:val="2"/>
            <w:vAlign w:val="center"/>
          </w:tcPr>
          <w:p w14:paraId="2319EF4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注册建造师执业资格等级</w:t>
            </w:r>
          </w:p>
        </w:tc>
        <w:tc>
          <w:tcPr>
            <w:tcW w:w="2200" w:type="dxa"/>
            <w:gridSpan w:val="3"/>
            <w:vAlign w:val="center"/>
          </w:tcPr>
          <w:p w14:paraId="580A1A9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级</w:t>
            </w:r>
          </w:p>
        </w:tc>
        <w:tc>
          <w:tcPr>
            <w:tcW w:w="3421" w:type="dxa"/>
            <w:gridSpan w:val="2"/>
            <w:vAlign w:val="center"/>
          </w:tcPr>
          <w:p w14:paraId="63EB56B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建造师专业</w:t>
            </w:r>
          </w:p>
        </w:tc>
      </w:tr>
      <w:tr w14:paraId="597E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536" w:type="dxa"/>
            <w:gridSpan w:val="4"/>
            <w:vAlign w:val="center"/>
          </w:tcPr>
          <w:p w14:paraId="4869AC3E">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安全生产考核合格证书</w:t>
            </w:r>
          </w:p>
        </w:tc>
        <w:tc>
          <w:tcPr>
            <w:tcW w:w="4464" w:type="dxa"/>
            <w:gridSpan w:val="3"/>
            <w:vAlign w:val="center"/>
          </w:tcPr>
          <w:p w14:paraId="6395A284">
            <w:pPr>
              <w:spacing w:line="360" w:lineRule="auto"/>
              <w:jc w:val="center"/>
              <w:rPr>
                <w:rFonts w:hint="eastAsia" w:ascii="仿宋" w:hAnsi="仿宋" w:eastAsia="仿宋" w:cs="仿宋"/>
                <w:sz w:val="28"/>
                <w:szCs w:val="28"/>
                <w:highlight w:val="none"/>
              </w:rPr>
            </w:pPr>
          </w:p>
        </w:tc>
      </w:tr>
      <w:tr w14:paraId="63E0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vAlign w:val="center"/>
          </w:tcPr>
          <w:p w14:paraId="42AABD8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毕业学校</w:t>
            </w:r>
          </w:p>
        </w:tc>
        <w:tc>
          <w:tcPr>
            <w:tcW w:w="7621" w:type="dxa"/>
            <w:gridSpan w:val="6"/>
            <w:vAlign w:val="center"/>
          </w:tcPr>
          <w:p w14:paraId="58858E5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年毕业于            学校              专业</w:t>
            </w:r>
          </w:p>
        </w:tc>
      </w:tr>
      <w:tr w14:paraId="1815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000" w:type="dxa"/>
            <w:gridSpan w:val="7"/>
            <w:vAlign w:val="center"/>
          </w:tcPr>
          <w:p w14:paraId="0E7A1313">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主要工作经历</w:t>
            </w:r>
          </w:p>
        </w:tc>
      </w:tr>
      <w:tr w14:paraId="13E1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vAlign w:val="center"/>
          </w:tcPr>
          <w:p w14:paraId="3774071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p>
        </w:tc>
        <w:tc>
          <w:tcPr>
            <w:tcW w:w="2950" w:type="dxa"/>
            <w:gridSpan w:val="2"/>
            <w:vAlign w:val="center"/>
          </w:tcPr>
          <w:p w14:paraId="5D09884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参加过的类似项目</w:t>
            </w:r>
          </w:p>
        </w:tc>
        <w:tc>
          <w:tcPr>
            <w:tcW w:w="1250" w:type="dxa"/>
            <w:gridSpan w:val="2"/>
            <w:vAlign w:val="center"/>
          </w:tcPr>
          <w:p w14:paraId="38616D73">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工程情况说明</w:t>
            </w:r>
          </w:p>
        </w:tc>
        <w:tc>
          <w:tcPr>
            <w:tcW w:w="3421" w:type="dxa"/>
            <w:gridSpan w:val="2"/>
            <w:vAlign w:val="center"/>
          </w:tcPr>
          <w:p w14:paraId="57CB39B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发包人及联系电话</w:t>
            </w:r>
          </w:p>
        </w:tc>
      </w:tr>
      <w:tr w14:paraId="5F6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tcPr>
          <w:p w14:paraId="7A67E4DA">
            <w:pPr>
              <w:spacing w:line="360" w:lineRule="auto"/>
              <w:rPr>
                <w:rFonts w:hint="eastAsia" w:ascii="仿宋" w:hAnsi="仿宋" w:eastAsia="仿宋" w:cs="仿宋"/>
                <w:sz w:val="28"/>
                <w:szCs w:val="28"/>
                <w:highlight w:val="none"/>
              </w:rPr>
            </w:pPr>
          </w:p>
        </w:tc>
        <w:tc>
          <w:tcPr>
            <w:tcW w:w="2000" w:type="dxa"/>
          </w:tcPr>
          <w:p w14:paraId="5198EB3D">
            <w:pPr>
              <w:spacing w:line="360" w:lineRule="auto"/>
              <w:rPr>
                <w:rFonts w:hint="eastAsia" w:ascii="仿宋" w:hAnsi="仿宋" w:eastAsia="仿宋" w:cs="仿宋"/>
                <w:sz w:val="28"/>
                <w:szCs w:val="28"/>
                <w:highlight w:val="none"/>
              </w:rPr>
            </w:pPr>
          </w:p>
        </w:tc>
        <w:tc>
          <w:tcPr>
            <w:tcW w:w="950" w:type="dxa"/>
          </w:tcPr>
          <w:p w14:paraId="42721C48">
            <w:pPr>
              <w:spacing w:line="360" w:lineRule="auto"/>
              <w:rPr>
                <w:rFonts w:hint="eastAsia" w:ascii="仿宋" w:hAnsi="仿宋" w:eastAsia="仿宋" w:cs="仿宋"/>
                <w:sz w:val="28"/>
                <w:szCs w:val="28"/>
                <w:highlight w:val="none"/>
              </w:rPr>
            </w:pPr>
          </w:p>
        </w:tc>
        <w:tc>
          <w:tcPr>
            <w:tcW w:w="1250" w:type="dxa"/>
            <w:gridSpan w:val="2"/>
          </w:tcPr>
          <w:p w14:paraId="04F08785">
            <w:pPr>
              <w:spacing w:line="360" w:lineRule="auto"/>
              <w:rPr>
                <w:rFonts w:hint="eastAsia" w:ascii="仿宋" w:hAnsi="仿宋" w:eastAsia="仿宋" w:cs="仿宋"/>
                <w:sz w:val="28"/>
                <w:szCs w:val="28"/>
                <w:highlight w:val="none"/>
              </w:rPr>
            </w:pPr>
          </w:p>
        </w:tc>
        <w:tc>
          <w:tcPr>
            <w:tcW w:w="2275" w:type="dxa"/>
          </w:tcPr>
          <w:p w14:paraId="3464C48B">
            <w:pPr>
              <w:spacing w:line="360" w:lineRule="auto"/>
              <w:rPr>
                <w:rFonts w:hint="eastAsia" w:ascii="仿宋" w:hAnsi="仿宋" w:eastAsia="仿宋" w:cs="仿宋"/>
                <w:sz w:val="28"/>
                <w:szCs w:val="28"/>
                <w:highlight w:val="none"/>
              </w:rPr>
            </w:pPr>
          </w:p>
        </w:tc>
        <w:tc>
          <w:tcPr>
            <w:tcW w:w="1146" w:type="dxa"/>
          </w:tcPr>
          <w:p w14:paraId="7670EDCE">
            <w:pPr>
              <w:spacing w:line="360" w:lineRule="auto"/>
              <w:rPr>
                <w:rFonts w:hint="eastAsia" w:ascii="仿宋" w:hAnsi="仿宋" w:eastAsia="仿宋" w:cs="仿宋"/>
                <w:sz w:val="28"/>
                <w:szCs w:val="28"/>
                <w:highlight w:val="none"/>
              </w:rPr>
            </w:pPr>
          </w:p>
        </w:tc>
      </w:tr>
      <w:tr w14:paraId="056A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tcPr>
          <w:p w14:paraId="63A6B798">
            <w:pPr>
              <w:spacing w:line="360" w:lineRule="auto"/>
              <w:rPr>
                <w:rFonts w:hint="eastAsia" w:ascii="仿宋" w:hAnsi="仿宋" w:eastAsia="仿宋" w:cs="仿宋"/>
                <w:sz w:val="28"/>
                <w:szCs w:val="28"/>
                <w:highlight w:val="none"/>
              </w:rPr>
            </w:pPr>
          </w:p>
        </w:tc>
        <w:tc>
          <w:tcPr>
            <w:tcW w:w="2000" w:type="dxa"/>
          </w:tcPr>
          <w:p w14:paraId="704518BC">
            <w:pPr>
              <w:spacing w:line="360" w:lineRule="auto"/>
              <w:rPr>
                <w:rFonts w:hint="eastAsia" w:ascii="仿宋" w:hAnsi="仿宋" w:eastAsia="仿宋" w:cs="仿宋"/>
                <w:sz w:val="28"/>
                <w:szCs w:val="28"/>
                <w:highlight w:val="none"/>
              </w:rPr>
            </w:pPr>
          </w:p>
        </w:tc>
        <w:tc>
          <w:tcPr>
            <w:tcW w:w="950" w:type="dxa"/>
          </w:tcPr>
          <w:p w14:paraId="76642181">
            <w:pPr>
              <w:spacing w:line="360" w:lineRule="auto"/>
              <w:rPr>
                <w:rFonts w:hint="eastAsia" w:ascii="仿宋" w:hAnsi="仿宋" w:eastAsia="仿宋" w:cs="仿宋"/>
                <w:sz w:val="28"/>
                <w:szCs w:val="28"/>
                <w:highlight w:val="none"/>
              </w:rPr>
            </w:pPr>
          </w:p>
        </w:tc>
        <w:tc>
          <w:tcPr>
            <w:tcW w:w="1250" w:type="dxa"/>
            <w:gridSpan w:val="2"/>
          </w:tcPr>
          <w:p w14:paraId="310830BD">
            <w:pPr>
              <w:spacing w:line="360" w:lineRule="auto"/>
              <w:rPr>
                <w:rFonts w:hint="eastAsia" w:ascii="仿宋" w:hAnsi="仿宋" w:eastAsia="仿宋" w:cs="仿宋"/>
                <w:sz w:val="28"/>
                <w:szCs w:val="28"/>
                <w:highlight w:val="none"/>
              </w:rPr>
            </w:pPr>
          </w:p>
        </w:tc>
        <w:tc>
          <w:tcPr>
            <w:tcW w:w="2275" w:type="dxa"/>
          </w:tcPr>
          <w:p w14:paraId="4E4D6B5F">
            <w:pPr>
              <w:spacing w:line="360" w:lineRule="auto"/>
              <w:rPr>
                <w:rFonts w:hint="eastAsia" w:ascii="仿宋" w:hAnsi="仿宋" w:eastAsia="仿宋" w:cs="仿宋"/>
                <w:sz w:val="28"/>
                <w:szCs w:val="28"/>
                <w:highlight w:val="none"/>
              </w:rPr>
            </w:pPr>
          </w:p>
        </w:tc>
        <w:tc>
          <w:tcPr>
            <w:tcW w:w="1146" w:type="dxa"/>
          </w:tcPr>
          <w:p w14:paraId="5C497F3A">
            <w:pPr>
              <w:spacing w:line="360" w:lineRule="auto"/>
              <w:rPr>
                <w:rFonts w:hint="eastAsia" w:ascii="仿宋" w:hAnsi="仿宋" w:eastAsia="仿宋" w:cs="仿宋"/>
                <w:sz w:val="28"/>
                <w:szCs w:val="28"/>
                <w:highlight w:val="none"/>
              </w:rPr>
            </w:pPr>
          </w:p>
        </w:tc>
      </w:tr>
      <w:tr w14:paraId="3DFB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tcPr>
          <w:p w14:paraId="118932AD">
            <w:pPr>
              <w:spacing w:line="360" w:lineRule="auto"/>
              <w:rPr>
                <w:rFonts w:hint="eastAsia" w:ascii="仿宋" w:hAnsi="仿宋" w:eastAsia="仿宋" w:cs="仿宋"/>
                <w:sz w:val="28"/>
                <w:szCs w:val="28"/>
                <w:highlight w:val="none"/>
              </w:rPr>
            </w:pPr>
          </w:p>
        </w:tc>
        <w:tc>
          <w:tcPr>
            <w:tcW w:w="2000" w:type="dxa"/>
          </w:tcPr>
          <w:p w14:paraId="4B1A9AD7">
            <w:pPr>
              <w:spacing w:line="360" w:lineRule="auto"/>
              <w:rPr>
                <w:rFonts w:hint="eastAsia" w:ascii="仿宋" w:hAnsi="仿宋" w:eastAsia="仿宋" w:cs="仿宋"/>
                <w:sz w:val="28"/>
                <w:szCs w:val="28"/>
                <w:highlight w:val="none"/>
              </w:rPr>
            </w:pPr>
          </w:p>
        </w:tc>
        <w:tc>
          <w:tcPr>
            <w:tcW w:w="950" w:type="dxa"/>
          </w:tcPr>
          <w:p w14:paraId="16D3B7CD">
            <w:pPr>
              <w:spacing w:line="360" w:lineRule="auto"/>
              <w:rPr>
                <w:rFonts w:hint="eastAsia" w:ascii="仿宋" w:hAnsi="仿宋" w:eastAsia="仿宋" w:cs="仿宋"/>
                <w:sz w:val="28"/>
                <w:szCs w:val="28"/>
                <w:highlight w:val="none"/>
              </w:rPr>
            </w:pPr>
          </w:p>
        </w:tc>
        <w:tc>
          <w:tcPr>
            <w:tcW w:w="1250" w:type="dxa"/>
            <w:gridSpan w:val="2"/>
          </w:tcPr>
          <w:p w14:paraId="66AB797A">
            <w:pPr>
              <w:spacing w:line="360" w:lineRule="auto"/>
              <w:rPr>
                <w:rFonts w:hint="eastAsia" w:ascii="仿宋" w:hAnsi="仿宋" w:eastAsia="仿宋" w:cs="仿宋"/>
                <w:sz w:val="28"/>
                <w:szCs w:val="28"/>
                <w:highlight w:val="none"/>
              </w:rPr>
            </w:pPr>
          </w:p>
        </w:tc>
        <w:tc>
          <w:tcPr>
            <w:tcW w:w="2275" w:type="dxa"/>
          </w:tcPr>
          <w:p w14:paraId="680756BD">
            <w:pPr>
              <w:spacing w:line="360" w:lineRule="auto"/>
              <w:rPr>
                <w:rFonts w:hint="eastAsia" w:ascii="仿宋" w:hAnsi="仿宋" w:eastAsia="仿宋" w:cs="仿宋"/>
                <w:sz w:val="28"/>
                <w:szCs w:val="28"/>
                <w:highlight w:val="none"/>
              </w:rPr>
            </w:pPr>
          </w:p>
        </w:tc>
        <w:tc>
          <w:tcPr>
            <w:tcW w:w="1146" w:type="dxa"/>
          </w:tcPr>
          <w:p w14:paraId="3720686F">
            <w:pPr>
              <w:spacing w:line="360" w:lineRule="auto"/>
              <w:rPr>
                <w:rFonts w:hint="eastAsia" w:ascii="仿宋" w:hAnsi="仿宋" w:eastAsia="仿宋" w:cs="仿宋"/>
                <w:sz w:val="28"/>
                <w:szCs w:val="28"/>
                <w:highlight w:val="none"/>
              </w:rPr>
            </w:pPr>
          </w:p>
        </w:tc>
      </w:tr>
      <w:tr w14:paraId="3824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tcPr>
          <w:p w14:paraId="3E317985">
            <w:pPr>
              <w:spacing w:line="360" w:lineRule="auto"/>
              <w:rPr>
                <w:rFonts w:hint="eastAsia" w:ascii="仿宋" w:hAnsi="仿宋" w:eastAsia="仿宋" w:cs="仿宋"/>
                <w:sz w:val="28"/>
                <w:szCs w:val="28"/>
                <w:highlight w:val="none"/>
              </w:rPr>
            </w:pPr>
          </w:p>
        </w:tc>
        <w:tc>
          <w:tcPr>
            <w:tcW w:w="2000" w:type="dxa"/>
          </w:tcPr>
          <w:p w14:paraId="358EDDA5">
            <w:pPr>
              <w:spacing w:line="360" w:lineRule="auto"/>
              <w:rPr>
                <w:rFonts w:hint="eastAsia" w:ascii="仿宋" w:hAnsi="仿宋" w:eastAsia="仿宋" w:cs="仿宋"/>
                <w:sz w:val="28"/>
                <w:szCs w:val="28"/>
                <w:highlight w:val="none"/>
              </w:rPr>
            </w:pPr>
          </w:p>
        </w:tc>
        <w:tc>
          <w:tcPr>
            <w:tcW w:w="950" w:type="dxa"/>
          </w:tcPr>
          <w:p w14:paraId="45966874">
            <w:pPr>
              <w:spacing w:line="360" w:lineRule="auto"/>
              <w:rPr>
                <w:rFonts w:hint="eastAsia" w:ascii="仿宋" w:hAnsi="仿宋" w:eastAsia="仿宋" w:cs="仿宋"/>
                <w:sz w:val="28"/>
                <w:szCs w:val="28"/>
                <w:highlight w:val="none"/>
              </w:rPr>
            </w:pPr>
          </w:p>
        </w:tc>
        <w:tc>
          <w:tcPr>
            <w:tcW w:w="1250" w:type="dxa"/>
            <w:gridSpan w:val="2"/>
          </w:tcPr>
          <w:p w14:paraId="7B793A86">
            <w:pPr>
              <w:spacing w:line="360" w:lineRule="auto"/>
              <w:rPr>
                <w:rFonts w:hint="eastAsia" w:ascii="仿宋" w:hAnsi="仿宋" w:eastAsia="仿宋" w:cs="仿宋"/>
                <w:sz w:val="28"/>
                <w:szCs w:val="28"/>
                <w:highlight w:val="none"/>
              </w:rPr>
            </w:pPr>
          </w:p>
        </w:tc>
        <w:tc>
          <w:tcPr>
            <w:tcW w:w="2275" w:type="dxa"/>
          </w:tcPr>
          <w:p w14:paraId="08FD804F">
            <w:pPr>
              <w:spacing w:line="360" w:lineRule="auto"/>
              <w:rPr>
                <w:rFonts w:hint="eastAsia" w:ascii="仿宋" w:hAnsi="仿宋" w:eastAsia="仿宋" w:cs="仿宋"/>
                <w:sz w:val="28"/>
                <w:szCs w:val="28"/>
                <w:highlight w:val="none"/>
              </w:rPr>
            </w:pPr>
          </w:p>
        </w:tc>
        <w:tc>
          <w:tcPr>
            <w:tcW w:w="1146" w:type="dxa"/>
          </w:tcPr>
          <w:p w14:paraId="035D3EBB">
            <w:pPr>
              <w:spacing w:line="360" w:lineRule="auto"/>
              <w:rPr>
                <w:rFonts w:hint="eastAsia" w:ascii="仿宋" w:hAnsi="仿宋" w:eastAsia="仿宋" w:cs="仿宋"/>
                <w:sz w:val="28"/>
                <w:szCs w:val="28"/>
                <w:highlight w:val="none"/>
              </w:rPr>
            </w:pPr>
          </w:p>
        </w:tc>
      </w:tr>
      <w:tr w14:paraId="3E82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tcPr>
          <w:p w14:paraId="698B1D81">
            <w:pPr>
              <w:spacing w:line="360" w:lineRule="auto"/>
              <w:rPr>
                <w:rFonts w:hint="eastAsia" w:ascii="仿宋" w:hAnsi="仿宋" w:eastAsia="仿宋" w:cs="仿宋"/>
                <w:sz w:val="28"/>
                <w:szCs w:val="28"/>
                <w:highlight w:val="none"/>
              </w:rPr>
            </w:pPr>
          </w:p>
        </w:tc>
        <w:tc>
          <w:tcPr>
            <w:tcW w:w="2000" w:type="dxa"/>
          </w:tcPr>
          <w:p w14:paraId="229CE251">
            <w:pPr>
              <w:spacing w:line="360" w:lineRule="auto"/>
              <w:rPr>
                <w:rFonts w:hint="eastAsia" w:ascii="仿宋" w:hAnsi="仿宋" w:eastAsia="仿宋" w:cs="仿宋"/>
                <w:sz w:val="28"/>
                <w:szCs w:val="28"/>
                <w:highlight w:val="none"/>
              </w:rPr>
            </w:pPr>
          </w:p>
        </w:tc>
        <w:tc>
          <w:tcPr>
            <w:tcW w:w="950" w:type="dxa"/>
          </w:tcPr>
          <w:p w14:paraId="0FE577BA">
            <w:pPr>
              <w:spacing w:line="360" w:lineRule="auto"/>
              <w:rPr>
                <w:rFonts w:hint="eastAsia" w:ascii="仿宋" w:hAnsi="仿宋" w:eastAsia="仿宋" w:cs="仿宋"/>
                <w:sz w:val="28"/>
                <w:szCs w:val="28"/>
                <w:highlight w:val="none"/>
              </w:rPr>
            </w:pPr>
          </w:p>
        </w:tc>
        <w:tc>
          <w:tcPr>
            <w:tcW w:w="1250" w:type="dxa"/>
            <w:gridSpan w:val="2"/>
          </w:tcPr>
          <w:p w14:paraId="0480BDFB">
            <w:pPr>
              <w:spacing w:line="360" w:lineRule="auto"/>
              <w:rPr>
                <w:rFonts w:hint="eastAsia" w:ascii="仿宋" w:hAnsi="仿宋" w:eastAsia="仿宋" w:cs="仿宋"/>
                <w:sz w:val="28"/>
                <w:szCs w:val="28"/>
                <w:highlight w:val="none"/>
              </w:rPr>
            </w:pPr>
          </w:p>
        </w:tc>
        <w:tc>
          <w:tcPr>
            <w:tcW w:w="2275" w:type="dxa"/>
          </w:tcPr>
          <w:p w14:paraId="483AD5FE">
            <w:pPr>
              <w:spacing w:line="360" w:lineRule="auto"/>
              <w:rPr>
                <w:rFonts w:hint="eastAsia" w:ascii="仿宋" w:hAnsi="仿宋" w:eastAsia="仿宋" w:cs="仿宋"/>
                <w:sz w:val="28"/>
                <w:szCs w:val="28"/>
                <w:highlight w:val="none"/>
              </w:rPr>
            </w:pPr>
          </w:p>
        </w:tc>
        <w:tc>
          <w:tcPr>
            <w:tcW w:w="1146" w:type="dxa"/>
          </w:tcPr>
          <w:p w14:paraId="666164E8">
            <w:pPr>
              <w:spacing w:line="360" w:lineRule="auto"/>
              <w:rPr>
                <w:rFonts w:hint="eastAsia" w:ascii="仿宋" w:hAnsi="仿宋" w:eastAsia="仿宋" w:cs="仿宋"/>
                <w:sz w:val="28"/>
                <w:szCs w:val="28"/>
                <w:highlight w:val="none"/>
              </w:rPr>
            </w:pPr>
          </w:p>
        </w:tc>
      </w:tr>
      <w:tr w14:paraId="297F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tcPr>
          <w:p w14:paraId="7B75F50A">
            <w:pPr>
              <w:spacing w:line="360" w:lineRule="auto"/>
              <w:rPr>
                <w:rFonts w:hint="eastAsia" w:ascii="仿宋" w:hAnsi="仿宋" w:eastAsia="仿宋" w:cs="仿宋"/>
                <w:sz w:val="28"/>
                <w:szCs w:val="28"/>
                <w:highlight w:val="none"/>
              </w:rPr>
            </w:pPr>
          </w:p>
        </w:tc>
        <w:tc>
          <w:tcPr>
            <w:tcW w:w="2000" w:type="dxa"/>
          </w:tcPr>
          <w:p w14:paraId="615B089A">
            <w:pPr>
              <w:spacing w:line="360" w:lineRule="auto"/>
              <w:rPr>
                <w:rFonts w:hint="eastAsia" w:ascii="仿宋" w:hAnsi="仿宋" w:eastAsia="仿宋" w:cs="仿宋"/>
                <w:sz w:val="28"/>
                <w:szCs w:val="28"/>
                <w:highlight w:val="none"/>
              </w:rPr>
            </w:pPr>
          </w:p>
        </w:tc>
        <w:tc>
          <w:tcPr>
            <w:tcW w:w="950" w:type="dxa"/>
          </w:tcPr>
          <w:p w14:paraId="57AECD93">
            <w:pPr>
              <w:spacing w:line="360" w:lineRule="auto"/>
              <w:rPr>
                <w:rFonts w:hint="eastAsia" w:ascii="仿宋" w:hAnsi="仿宋" w:eastAsia="仿宋" w:cs="仿宋"/>
                <w:sz w:val="28"/>
                <w:szCs w:val="28"/>
                <w:highlight w:val="none"/>
              </w:rPr>
            </w:pPr>
          </w:p>
        </w:tc>
        <w:tc>
          <w:tcPr>
            <w:tcW w:w="1250" w:type="dxa"/>
            <w:gridSpan w:val="2"/>
          </w:tcPr>
          <w:p w14:paraId="3F2175B9">
            <w:pPr>
              <w:spacing w:line="360" w:lineRule="auto"/>
              <w:rPr>
                <w:rFonts w:hint="eastAsia" w:ascii="仿宋" w:hAnsi="仿宋" w:eastAsia="仿宋" w:cs="仿宋"/>
                <w:sz w:val="28"/>
                <w:szCs w:val="28"/>
                <w:highlight w:val="none"/>
              </w:rPr>
            </w:pPr>
          </w:p>
        </w:tc>
        <w:tc>
          <w:tcPr>
            <w:tcW w:w="2275" w:type="dxa"/>
          </w:tcPr>
          <w:p w14:paraId="258AC910">
            <w:pPr>
              <w:spacing w:line="360" w:lineRule="auto"/>
              <w:rPr>
                <w:rFonts w:hint="eastAsia" w:ascii="仿宋" w:hAnsi="仿宋" w:eastAsia="仿宋" w:cs="仿宋"/>
                <w:sz w:val="28"/>
                <w:szCs w:val="28"/>
                <w:highlight w:val="none"/>
              </w:rPr>
            </w:pPr>
          </w:p>
        </w:tc>
        <w:tc>
          <w:tcPr>
            <w:tcW w:w="1146" w:type="dxa"/>
          </w:tcPr>
          <w:p w14:paraId="4988B187">
            <w:pPr>
              <w:spacing w:line="360" w:lineRule="auto"/>
              <w:rPr>
                <w:rFonts w:hint="eastAsia" w:ascii="仿宋" w:hAnsi="仿宋" w:eastAsia="仿宋" w:cs="仿宋"/>
                <w:sz w:val="28"/>
                <w:szCs w:val="28"/>
                <w:highlight w:val="none"/>
              </w:rPr>
            </w:pPr>
          </w:p>
        </w:tc>
      </w:tr>
      <w:tr w14:paraId="73F4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tcPr>
          <w:p w14:paraId="7CD6588C">
            <w:pPr>
              <w:spacing w:line="360" w:lineRule="auto"/>
              <w:rPr>
                <w:rFonts w:hint="eastAsia" w:ascii="仿宋" w:hAnsi="仿宋" w:eastAsia="仿宋" w:cs="仿宋"/>
                <w:sz w:val="28"/>
                <w:szCs w:val="28"/>
                <w:highlight w:val="none"/>
              </w:rPr>
            </w:pPr>
          </w:p>
        </w:tc>
        <w:tc>
          <w:tcPr>
            <w:tcW w:w="2000" w:type="dxa"/>
          </w:tcPr>
          <w:p w14:paraId="246DF270">
            <w:pPr>
              <w:spacing w:line="360" w:lineRule="auto"/>
              <w:rPr>
                <w:rFonts w:hint="eastAsia" w:ascii="仿宋" w:hAnsi="仿宋" w:eastAsia="仿宋" w:cs="仿宋"/>
                <w:sz w:val="28"/>
                <w:szCs w:val="28"/>
                <w:highlight w:val="none"/>
              </w:rPr>
            </w:pPr>
          </w:p>
        </w:tc>
        <w:tc>
          <w:tcPr>
            <w:tcW w:w="950" w:type="dxa"/>
          </w:tcPr>
          <w:p w14:paraId="0A7FDD97">
            <w:pPr>
              <w:spacing w:line="360" w:lineRule="auto"/>
              <w:rPr>
                <w:rFonts w:hint="eastAsia" w:ascii="仿宋" w:hAnsi="仿宋" w:eastAsia="仿宋" w:cs="仿宋"/>
                <w:sz w:val="28"/>
                <w:szCs w:val="28"/>
                <w:highlight w:val="none"/>
              </w:rPr>
            </w:pPr>
          </w:p>
        </w:tc>
        <w:tc>
          <w:tcPr>
            <w:tcW w:w="1250" w:type="dxa"/>
            <w:gridSpan w:val="2"/>
          </w:tcPr>
          <w:p w14:paraId="512F7F90">
            <w:pPr>
              <w:spacing w:line="360" w:lineRule="auto"/>
              <w:rPr>
                <w:rFonts w:hint="eastAsia" w:ascii="仿宋" w:hAnsi="仿宋" w:eastAsia="仿宋" w:cs="仿宋"/>
                <w:sz w:val="28"/>
                <w:szCs w:val="28"/>
                <w:highlight w:val="none"/>
              </w:rPr>
            </w:pPr>
          </w:p>
        </w:tc>
        <w:tc>
          <w:tcPr>
            <w:tcW w:w="2275" w:type="dxa"/>
          </w:tcPr>
          <w:p w14:paraId="0CDC8AE3">
            <w:pPr>
              <w:spacing w:line="360" w:lineRule="auto"/>
              <w:rPr>
                <w:rFonts w:hint="eastAsia" w:ascii="仿宋" w:hAnsi="仿宋" w:eastAsia="仿宋" w:cs="仿宋"/>
                <w:sz w:val="28"/>
                <w:szCs w:val="28"/>
                <w:highlight w:val="none"/>
              </w:rPr>
            </w:pPr>
          </w:p>
        </w:tc>
        <w:tc>
          <w:tcPr>
            <w:tcW w:w="1146" w:type="dxa"/>
          </w:tcPr>
          <w:p w14:paraId="60C6B7CB">
            <w:pPr>
              <w:spacing w:line="360" w:lineRule="auto"/>
              <w:rPr>
                <w:rFonts w:hint="eastAsia" w:ascii="仿宋" w:hAnsi="仿宋" w:eastAsia="仿宋" w:cs="仿宋"/>
                <w:sz w:val="28"/>
                <w:szCs w:val="28"/>
                <w:highlight w:val="none"/>
              </w:rPr>
            </w:pPr>
          </w:p>
        </w:tc>
      </w:tr>
      <w:tr w14:paraId="5DBD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9" w:type="dxa"/>
          </w:tcPr>
          <w:p w14:paraId="6AE7657A">
            <w:pPr>
              <w:spacing w:line="360" w:lineRule="auto"/>
              <w:rPr>
                <w:rFonts w:hint="eastAsia" w:ascii="仿宋" w:hAnsi="仿宋" w:eastAsia="仿宋" w:cs="仿宋"/>
                <w:sz w:val="28"/>
                <w:szCs w:val="28"/>
                <w:highlight w:val="none"/>
              </w:rPr>
            </w:pPr>
          </w:p>
        </w:tc>
        <w:tc>
          <w:tcPr>
            <w:tcW w:w="2000" w:type="dxa"/>
          </w:tcPr>
          <w:p w14:paraId="36D359FC">
            <w:pPr>
              <w:spacing w:line="360" w:lineRule="auto"/>
              <w:rPr>
                <w:rFonts w:hint="eastAsia" w:ascii="仿宋" w:hAnsi="仿宋" w:eastAsia="仿宋" w:cs="仿宋"/>
                <w:sz w:val="28"/>
                <w:szCs w:val="28"/>
                <w:highlight w:val="none"/>
              </w:rPr>
            </w:pPr>
          </w:p>
        </w:tc>
        <w:tc>
          <w:tcPr>
            <w:tcW w:w="950" w:type="dxa"/>
          </w:tcPr>
          <w:p w14:paraId="77E4B8A5">
            <w:pPr>
              <w:spacing w:line="360" w:lineRule="auto"/>
              <w:rPr>
                <w:rFonts w:hint="eastAsia" w:ascii="仿宋" w:hAnsi="仿宋" w:eastAsia="仿宋" w:cs="仿宋"/>
                <w:sz w:val="28"/>
                <w:szCs w:val="28"/>
                <w:highlight w:val="none"/>
              </w:rPr>
            </w:pPr>
          </w:p>
        </w:tc>
        <w:tc>
          <w:tcPr>
            <w:tcW w:w="1250" w:type="dxa"/>
            <w:gridSpan w:val="2"/>
          </w:tcPr>
          <w:p w14:paraId="1C67E2D4">
            <w:pPr>
              <w:spacing w:line="360" w:lineRule="auto"/>
              <w:rPr>
                <w:rFonts w:hint="eastAsia" w:ascii="仿宋" w:hAnsi="仿宋" w:eastAsia="仿宋" w:cs="仿宋"/>
                <w:sz w:val="28"/>
                <w:szCs w:val="28"/>
                <w:highlight w:val="none"/>
              </w:rPr>
            </w:pPr>
          </w:p>
        </w:tc>
        <w:tc>
          <w:tcPr>
            <w:tcW w:w="2275" w:type="dxa"/>
          </w:tcPr>
          <w:p w14:paraId="0EB4F0E5">
            <w:pPr>
              <w:spacing w:line="360" w:lineRule="auto"/>
              <w:rPr>
                <w:rFonts w:hint="eastAsia" w:ascii="仿宋" w:hAnsi="仿宋" w:eastAsia="仿宋" w:cs="仿宋"/>
                <w:sz w:val="28"/>
                <w:szCs w:val="28"/>
                <w:highlight w:val="none"/>
              </w:rPr>
            </w:pPr>
          </w:p>
        </w:tc>
        <w:tc>
          <w:tcPr>
            <w:tcW w:w="1146" w:type="dxa"/>
          </w:tcPr>
          <w:p w14:paraId="73C9EB62">
            <w:pPr>
              <w:spacing w:line="360" w:lineRule="auto"/>
              <w:rPr>
                <w:rFonts w:hint="eastAsia" w:ascii="仿宋" w:hAnsi="仿宋" w:eastAsia="仿宋" w:cs="仿宋"/>
                <w:sz w:val="28"/>
                <w:szCs w:val="28"/>
                <w:highlight w:val="none"/>
              </w:rPr>
            </w:pPr>
          </w:p>
        </w:tc>
      </w:tr>
    </w:tbl>
    <w:p w14:paraId="68253C44">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color w:val="000000"/>
          <w:sz w:val="28"/>
          <w:szCs w:val="28"/>
          <w:highlight w:val="none"/>
        </w:rPr>
        <w:t>附证书扫描件。</w:t>
      </w:r>
    </w:p>
    <w:p w14:paraId="7E7E3053">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13D1652">
      <w:pPr>
        <w:keepNext w:val="0"/>
        <w:keepLines w:val="0"/>
        <w:widowControl/>
        <w:suppressLineNumbers w:val="0"/>
        <w:jc w:val="center"/>
        <w:rPr>
          <w:rFonts w:ascii="仿宋" w:hAnsi="仿宋" w:eastAsia="仿宋" w:cs="仿宋"/>
          <w:color w:val="000000"/>
          <w:kern w:val="0"/>
          <w:sz w:val="84"/>
          <w:szCs w:val="84"/>
          <w:highlight w:val="none"/>
          <w:lang w:val="en-US" w:eastAsia="zh-CN" w:bidi="ar"/>
        </w:rPr>
      </w:pPr>
    </w:p>
    <w:p w14:paraId="6FDD38EC">
      <w:pPr>
        <w:keepNext w:val="0"/>
        <w:keepLines w:val="0"/>
        <w:widowControl/>
        <w:suppressLineNumbers w:val="0"/>
        <w:jc w:val="center"/>
        <w:rPr>
          <w:highlight w:val="none"/>
        </w:rPr>
      </w:pPr>
      <w:r>
        <w:rPr>
          <w:rFonts w:ascii="仿宋" w:hAnsi="仿宋" w:eastAsia="仿宋" w:cs="仿宋"/>
          <w:color w:val="000000"/>
          <w:kern w:val="0"/>
          <w:sz w:val="84"/>
          <w:szCs w:val="84"/>
          <w:highlight w:val="none"/>
          <w:lang w:val="en-US" w:eastAsia="zh-CN" w:bidi="ar"/>
        </w:rPr>
        <w:t>（填写项目名称）</w:t>
      </w:r>
    </w:p>
    <w:p w14:paraId="34A13642">
      <w:pPr>
        <w:keepNext w:val="0"/>
        <w:keepLines w:val="0"/>
        <w:widowControl/>
        <w:suppressLineNumbers w:val="0"/>
        <w:jc w:val="center"/>
        <w:rPr>
          <w:highlight w:val="none"/>
        </w:rPr>
      </w:pPr>
      <w:r>
        <w:rPr>
          <w:rFonts w:hint="eastAsia" w:ascii="仿宋" w:hAnsi="仿宋" w:eastAsia="仿宋" w:cs="仿宋"/>
          <w:color w:val="000000"/>
          <w:kern w:val="0"/>
          <w:sz w:val="72"/>
          <w:szCs w:val="72"/>
          <w:highlight w:val="none"/>
          <w:lang w:val="en-US" w:eastAsia="zh-CN" w:bidi="ar"/>
        </w:rPr>
        <w:t>响应文件</w:t>
      </w:r>
    </w:p>
    <w:p w14:paraId="6E69841A">
      <w:pPr>
        <w:keepNext w:val="0"/>
        <w:keepLines w:val="0"/>
        <w:widowControl/>
        <w:suppressLineNumbers w:val="0"/>
        <w:jc w:val="center"/>
        <w:rPr>
          <w:highlight w:val="none"/>
        </w:rPr>
      </w:pPr>
      <w:r>
        <w:rPr>
          <w:rFonts w:hint="eastAsia" w:ascii="仿宋" w:hAnsi="仿宋" w:eastAsia="仿宋" w:cs="仿宋"/>
          <w:color w:val="000000"/>
          <w:kern w:val="0"/>
          <w:sz w:val="28"/>
          <w:szCs w:val="28"/>
          <w:highlight w:val="none"/>
          <w:lang w:val="en-US" w:eastAsia="zh-CN" w:bidi="ar"/>
        </w:rPr>
        <w:t>项目编号：</w:t>
      </w:r>
    </w:p>
    <w:p w14:paraId="0926E91A">
      <w:pPr>
        <w:pStyle w:val="6"/>
        <w:adjustRightInd w:val="0"/>
        <w:snapToGrid w:val="0"/>
        <w:spacing w:before="48" w:beforeLines="20" w:after="48" w:afterLines="20" w:line="360" w:lineRule="auto"/>
        <w:ind w:right="-4" w:rightChars="-2"/>
        <w:jc w:val="center"/>
        <w:rPr>
          <w:rFonts w:hint="eastAsia" w:ascii="仿宋" w:hAnsi="仿宋" w:eastAsia="仿宋" w:cs="仿宋"/>
          <w:sz w:val="28"/>
          <w:szCs w:val="28"/>
          <w:highlight w:val="none"/>
        </w:rPr>
      </w:pPr>
    </w:p>
    <w:p w14:paraId="072A02DB">
      <w:pPr>
        <w:pStyle w:val="6"/>
        <w:adjustRightInd w:val="0"/>
        <w:snapToGrid w:val="0"/>
        <w:spacing w:before="48" w:beforeLines="20" w:after="48" w:afterLines="20" w:line="360" w:lineRule="auto"/>
        <w:ind w:right="-4" w:rightChars="-2"/>
        <w:jc w:val="center"/>
        <w:rPr>
          <w:rFonts w:hint="eastAsia" w:ascii="仿宋" w:hAnsi="仿宋" w:eastAsia="仿宋" w:cs="仿宋"/>
          <w:sz w:val="28"/>
          <w:szCs w:val="28"/>
          <w:highlight w:val="none"/>
        </w:rPr>
      </w:pPr>
    </w:p>
    <w:p w14:paraId="053C7DF9">
      <w:pPr>
        <w:pStyle w:val="6"/>
        <w:adjustRightInd w:val="0"/>
        <w:snapToGrid w:val="0"/>
        <w:spacing w:before="48" w:beforeLines="20" w:after="48" w:afterLines="20" w:line="360" w:lineRule="auto"/>
        <w:ind w:right="-4" w:rightChars="-2"/>
        <w:jc w:val="center"/>
        <w:rPr>
          <w:rFonts w:hint="eastAsia" w:ascii="仿宋" w:hAnsi="仿宋" w:eastAsia="仿宋" w:cs="仿宋"/>
          <w:sz w:val="28"/>
          <w:szCs w:val="28"/>
          <w:highlight w:val="none"/>
        </w:rPr>
      </w:pPr>
    </w:p>
    <w:p w14:paraId="5914091E">
      <w:pPr>
        <w:rPr>
          <w:rFonts w:hint="eastAsia" w:ascii="仿宋" w:hAnsi="仿宋" w:eastAsia="仿宋" w:cs="仿宋"/>
          <w:sz w:val="28"/>
          <w:szCs w:val="28"/>
          <w:highlight w:val="none"/>
        </w:rPr>
      </w:pPr>
    </w:p>
    <w:p w14:paraId="6BC71EBF">
      <w:pPr>
        <w:pStyle w:val="37"/>
        <w:rPr>
          <w:rFonts w:hint="eastAsia" w:ascii="仿宋" w:hAnsi="仿宋" w:eastAsia="仿宋" w:cs="仿宋"/>
          <w:sz w:val="28"/>
          <w:szCs w:val="28"/>
          <w:highlight w:val="none"/>
        </w:rPr>
      </w:pPr>
    </w:p>
    <w:p w14:paraId="79F7EC91">
      <w:pPr>
        <w:rPr>
          <w:rFonts w:hint="eastAsia" w:ascii="仿宋" w:hAnsi="仿宋" w:eastAsia="仿宋" w:cs="仿宋"/>
          <w:sz w:val="28"/>
          <w:szCs w:val="28"/>
          <w:highlight w:val="none"/>
        </w:rPr>
      </w:pPr>
    </w:p>
    <w:p w14:paraId="5ADBB149">
      <w:pPr>
        <w:pStyle w:val="6"/>
        <w:adjustRightInd w:val="0"/>
        <w:snapToGrid w:val="0"/>
        <w:spacing w:before="48" w:beforeLines="20" w:after="48" w:afterLines="20" w:line="360" w:lineRule="auto"/>
        <w:ind w:right="-4" w:rightChars="-2"/>
        <w:jc w:val="center"/>
        <w:rPr>
          <w:rFonts w:hint="eastAsia" w:ascii="仿宋" w:hAnsi="仿宋" w:eastAsia="仿宋" w:cs="仿宋"/>
          <w:sz w:val="28"/>
          <w:szCs w:val="28"/>
          <w:highlight w:val="none"/>
        </w:rPr>
      </w:pPr>
    </w:p>
    <w:p w14:paraId="2A4ED4A8">
      <w:pPr>
        <w:pStyle w:val="6"/>
        <w:adjustRightInd w:val="0"/>
        <w:snapToGrid w:val="0"/>
        <w:spacing w:before="48" w:beforeLines="20" w:after="48" w:afterLines="20" w:line="360" w:lineRule="auto"/>
        <w:ind w:right="-4" w:rightChars="-2"/>
        <w:jc w:val="center"/>
        <w:rPr>
          <w:rFonts w:hint="eastAsia" w:ascii="仿宋" w:hAnsi="仿宋" w:eastAsia="仿宋" w:cs="仿宋"/>
          <w:sz w:val="28"/>
          <w:szCs w:val="28"/>
          <w:highlight w:val="none"/>
        </w:rPr>
      </w:pPr>
    </w:p>
    <w:p w14:paraId="46E23C87">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p>
    <w:p w14:paraId="66480D1D">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响应文件内容：</w:t>
      </w:r>
      <w:r>
        <w:rPr>
          <w:rFonts w:hint="eastAsia" w:ascii="仿宋" w:hAnsi="仿宋" w:eastAsia="仿宋" w:cs="仿宋"/>
          <w:b/>
          <w:bCs/>
          <w:sz w:val="28"/>
          <w:szCs w:val="28"/>
          <w:highlight w:val="none"/>
          <w:u w:val="single"/>
        </w:rPr>
        <w:tab/>
      </w:r>
      <w:r>
        <w:rPr>
          <w:rFonts w:hint="eastAsia" w:ascii="仿宋" w:hAnsi="仿宋" w:eastAsia="仿宋" w:cs="仿宋"/>
          <w:b/>
          <w:bCs/>
          <w:sz w:val="28"/>
          <w:szCs w:val="28"/>
          <w:highlight w:val="none"/>
          <w:u w:val="single"/>
        </w:rPr>
        <w:t xml:space="preserve">         技术标              </w:t>
      </w:r>
      <w:r>
        <w:rPr>
          <w:rFonts w:hint="eastAsia" w:ascii="仿宋" w:hAnsi="仿宋" w:eastAsia="仿宋" w:cs="仿宋"/>
          <w:b/>
          <w:bCs/>
          <w:sz w:val="28"/>
          <w:szCs w:val="28"/>
          <w:highlight w:val="none"/>
          <w:u w:val="single"/>
        </w:rPr>
        <w:tab/>
      </w:r>
    </w:p>
    <w:p w14:paraId="25877442">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供 应 商：</w:t>
      </w:r>
      <w:r>
        <w:rPr>
          <w:rFonts w:hint="eastAsia" w:ascii="仿宋" w:hAnsi="仿宋" w:eastAsia="仿宋" w:cs="仿宋"/>
          <w:b/>
          <w:bCs/>
          <w:sz w:val="28"/>
          <w:szCs w:val="28"/>
          <w:highlight w:val="none"/>
          <w:u w:val="single"/>
        </w:rPr>
        <w:t xml:space="preserve">            （盖章）                </w:t>
      </w:r>
    </w:p>
    <w:p w14:paraId="784BD9B8">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法定代表人或其委托代理人：</w:t>
      </w:r>
      <w:r>
        <w:rPr>
          <w:rFonts w:hint="eastAsia" w:ascii="仿宋" w:hAnsi="仿宋" w:eastAsia="仿宋" w:cs="仿宋"/>
          <w:b/>
          <w:bCs/>
          <w:sz w:val="28"/>
          <w:szCs w:val="28"/>
          <w:highlight w:val="none"/>
          <w:u w:val="single"/>
        </w:rPr>
        <w:t xml:space="preserve">   （签字或盖章） </w:t>
      </w:r>
    </w:p>
    <w:p w14:paraId="2B1B3A8A">
      <w:pPr>
        <w:pStyle w:val="13"/>
        <w:adjustRightInd w:val="0"/>
        <w:snapToGrid w:val="0"/>
        <w:spacing w:before="48" w:beforeLines="20" w:after="48" w:afterLines="20" w:line="360" w:lineRule="auto"/>
        <w:ind w:left="143" w:leftChars="68" w:right="-4" w:rightChars="-2"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BF4F925">
      <w:pPr>
        <w:pStyle w:val="13"/>
        <w:adjustRightInd w:val="0"/>
        <w:snapToGrid w:val="0"/>
        <w:spacing w:before="48" w:beforeLines="20" w:after="48" w:afterLines="20" w:line="360" w:lineRule="auto"/>
        <w:ind w:left="143" w:leftChars="68" w:right="-4" w:rightChars="-2" w:firstLine="3920" w:firstLineChars="1400"/>
        <w:jc w:val="both"/>
        <w:rPr>
          <w:rStyle w:val="41"/>
          <w:rFonts w:hint="eastAsia" w:ascii="仿宋" w:hAnsi="仿宋" w:eastAsia="仿宋" w:cs="仿宋"/>
          <w:sz w:val="28"/>
          <w:szCs w:val="28"/>
          <w:highlight w:val="none"/>
        </w:rPr>
      </w:pPr>
    </w:p>
    <w:p w14:paraId="5CFCB90D">
      <w:pPr>
        <w:pStyle w:val="13"/>
        <w:adjustRightInd w:val="0"/>
        <w:snapToGrid w:val="0"/>
        <w:spacing w:before="48" w:beforeLines="20" w:after="48" w:afterLines="20" w:line="360" w:lineRule="auto"/>
        <w:ind w:left="143" w:leftChars="68" w:right="-4" w:rightChars="-2" w:firstLine="3920" w:firstLineChars="1400"/>
        <w:jc w:val="both"/>
        <w:rPr>
          <w:rStyle w:val="41"/>
          <w:rFonts w:hint="eastAsia" w:ascii="仿宋" w:hAnsi="仿宋" w:eastAsia="仿宋" w:cs="仿宋"/>
          <w:sz w:val="28"/>
          <w:szCs w:val="28"/>
          <w:highlight w:val="none"/>
        </w:rPr>
      </w:pPr>
    </w:p>
    <w:p w14:paraId="03BB95CF">
      <w:pPr>
        <w:pStyle w:val="13"/>
        <w:adjustRightInd w:val="0"/>
        <w:snapToGrid w:val="0"/>
        <w:spacing w:before="48" w:beforeLines="20" w:after="48" w:afterLines="20" w:line="360" w:lineRule="auto"/>
        <w:ind w:left="143" w:leftChars="68" w:right="-4" w:rightChars="-2" w:firstLine="3920" w:firstLineChars="1400"/>
        <w:jc w:val="both"/>
        <w:rPr>
          <w:rStyle w:val="41"/>
          <w:rFonts w:hint="eastAsia" w:ascii="仿宋" w:hAnsi="仿宋" w:eastAsia="仿宋" w:cs="仿宋"/>
          <w:sz w:val="28"/>
          <w:szCs w:val="28"/>
          <w:highlight w:val="none"/>
        </w:rPr>
      </w:pPr>
    </w:p>
    <w:p w14:paraId="6BDBEF5C">
      <w:pPr>
        <w:pStyle w:val="13"/>
        <w:adjustRightInd w:val="0"/>
        <w:snapToGrid w:val="0"/>
        <w:spacing w:before="48" w:beforeLines="20" w:after="48" w:afterLines="20" w:line="360" w:lineRule="auto"/>
        <w:ind w:left="143" w:leftChars="68" w:right="-4" w:rightChars="-2" w:firstLine="3920" w:firstLineChars="1400"/>
        <w:jc w:val="both"/>
        <w:rPr>
          <w:rStyle w:val="41"/>
          <w:rFonts w:hint="eastAsia" w:ascii="仿宋" w:hAnsi="仿宋" w:eastAsia="仿宋" w:cs="仿宋"/>
          <w:sz w:val="28"/>
          <w:szCs w:val="28"/>
          <w:highlight w:val="none"/>
        </w:rPr>
      </w:pPr>
    </w:p>
    <w:p w14:paraId="3F481F2A">
      <w:pPr>
        <w:pStyle w:val="13"/>
        <w:adjustRightInd w:val="0"/>
        <w:snapToGrid w:val="0"/>
        <w:spacing w:before="48" w:beforeLines="20" w:after="48" w:afterLines="20" w:line="360" w:lineRule="auto"/>
        <w:ind w:left="143" w:leftChars="68" w:right="-4" w:rightChars="-2" w:firstLine="3935" w:firstLineChars="1400"/>
        <w:jc w:val="both"/>
        <w:rPr>
          <w:rStyle w:val="41"/>
          <w:rFonts w:hint="eastAsia" w:ascii="仿宋" w:hAnsi="仿宋" w:eastAsia="仿宋" w:cs="仿宋"/>
          <w:b/>
          <w:bCs/>
          <w:sz w:val="28"/>
          <w:szCs w:val="28"/>
          <w:highlight w:val="none"/>
        </w:rPr>
      </w:pPr>
      <w:r>
        <w:rPr>
          <w:rStyle w:val="41"/>
          <w:rFonts w:hint="eastAsia" w:ascii="仿宋" w:hAnsi="仿宋" w:eastAsia="仿宋" w:cs="仿宋"/>
          <w:b/>
          <w:bCs/>
          <w:sz w:val="28"/>
          <w:szCs w:val="28"/>
          <w:highlight w:val="none"/>
        </w:rPr>
        <w:t>1、信誉要求</w:t>
      </w:r>
    </w:p>
    <w:p w14:paraId="2701EC14">
      <w:pPr>
        <w:spacing w:line="360" w:lineRule="auto"/>
        <w:ind w:firstLine="562" w:firstLineChars="200"/>
        <w:jc w:val="center"/>
        <w:rPr>
          <w:rFonts w:hint="eastAsia" w:ascii="仿宋" w:hAnsi="仿宋" w:eastAsia="仿宋" w:cs="仿宋"/>
          <w:b/>
          <w:bCs/>
          <w:sz w:val="28"/>
          <w:szCs w:val="28"/>
          <w:highlight w:val="none"/>
        </w:rPr>
      </w:pPr>
      <w:r>
        <w:rPr>
          <w:rStyle w:val="41"/>
          <w:rFonts w:hint="eastAsia" w:ascii="仿宋" w:hAnsi="仿宋" w:eastAsia="仿宋" w:cs="仿宋"/>
          <w:b/>
          <w:bCs/>
          <w:sz w:val="28"/>
          <w:szCs w:val="28"/>
          <w:highlight w:val="none"/>
        </w:rPr>
        <w:t>(格式自拟)</w:t>
      </w:r>
    </w:p>
    <w:p w14:paraId="05FB66C3">
      <w:pPr>
        <w:spacing w:line="360" w:lineRule="auto"/>
        <w:ind w:firstLine="560" w:firstLineChars="200"/>
        <w:jc w:val="center"/>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信誉承诺书</w:t>
      </w:r>
    </w:p>
    <w:p w14:paraId="0187D430">
      <w:pPr>
        <w:autoSpaceDE w:val="0"/>
        <w:autoSpaceDN w:val="0"/>
        <w:spacing w:line="360" w:lineRule="auto"/>
        <w:ind w:firstLine="560" w:firstLineChars="200"/>
        <w:jc w:val="left"/>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本企业郑重承诺：</w:t>
      </w:r>
    </w:p>
    <w:p w14:paraId="6EB2D5DC">
      <w:pPr>
        <w:widowControl/>
        <w:autoSpaceDE w:val="0"/>
        <w:autoSpaceDN w:val="0"/>
        <w:spacing w:line="360" w:lineRule="auto"/>
        <w:ind w:firstLine="560" w:firstLineChars="200"/>
        <w:jc w:val="left"/>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我公司在投标截止时间前不存在以下几种情形，否则我公司将接受联合惩戒，中标无效，并赔偿对采购人采购失败的经济损失：</w:t>
      </w:r>
    </w:p>
    <w:p w14:paraId="17505DCD">
      <w:pPr>
        <w:pStyle w:val="11"/>
        <w:autoSpaceDE w:val="0"/>
        <w:autoSpaceDN w:val="0"/>
        <w:spacing w:line="360" w:lineRule="auto"/>
        <w:ind w:firstLine="560" w:firstLineChars="200"/>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1.被最高人民法院在“中国执行信息公开网”网站（http://zxgk.court.gov.cn）列为失信被执行人；</w:t>
      </w:r>
    </w:p>
    <w:p w14:paraId="3BA17132">
      <w:pPr>
        <w:pStyle w:val="11"/>
        <w:autoSpaceDE w:val="0"/>
        <w:autoSpaceDN w:val="0"/>
        <w:spacing w:line="360" w:lineRule="auto"/>
        <w:ind w:firstLine="560" w:firstLineChars="200"/>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2.被国家市场监督管理部门在国家企业信用信息公示系统（www.gsxt.gov.cn）中列入严重违法失信企业名单；</w:t>
      </w:r>
    </w:p>
    <w:p w14:paraId="01010151">
      <w:pPr>
        <w:pStyle w:val="11"/>
        <w:autoSpaceDE w:val="0"/>
        <w:autoSpaceDN w:val="0"/>
        <w:spacing w:line="360" w:lineRule="auto"/>
        <w:ind w:firstLine="560" w:firstLineChars="200"/>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3.被国家税务总局列入“重大税收违法案件当事人”名单；</w:t>
      </w:r>
    </w:p>
    <w:p w14:paraId="0FE9E448">
      <w:pPr>
        <w:pStyle w:val="11"/>
        <w:autoSpaceDE w:val="0"/>
        <w:autoSpaceDN w:val="0"/>
        <w:spacing w:line="360" w:lineRule="auto"/>
        <w:ind w:firstLine="560" w:firstLineChars="200"/>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4.被全国建筑市场监管公共服务平台（jzsc.mohurd.gov.cn）列入“黑名单记录”。</w:t>
      </w:r>
    </w:p>
    <w:p w14:paraId="5233AF91">
      <w:pPr>
        <w:autoSpaceDE w:val="0"/>
        <w:autoSpaceDN w:val="0"/>
        <w:spacing w:line="360" w:lineRule="auto"/>
        <w:ind w:firstLine="560" w:firstLineChars="200"/>
        <w:jc w:val="left"/>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5.被中国政府采购网（www.ccgp.gov.cn）列入“政府采购严重违法失信行为记录名单”</w:t>
      </w:r>
    </w:p>
    <w:p w14:paraId="365DA122">
      <w:pPr>
        <w:autoSpaceDE w:val="0"/>
        <w:autoSpaceDN w:val="0"/>
        <w:spacing w:line="360" w:lineRule="auto"/>
        <w:ind w:firstLine="560" w:firstLineChars="200"/>
        <w:jc w:val="left"/>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我公司承诺信誉完全响应招标文件内容要求，同时不存在采购文件中规定的供应商不得存在的情形。</w:t>
      </w:r>
    </w:p>
    <w:p w14:paraId="10474717">
      <w:pPr>
        <w:spacing w:line="360" w:lineRule="auto"/>
        <w:ind w:firstLine="560" w:firstLineChars="200"/>
        <w:jc w:val="left"/>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 xml:space="preserve"> </w:t>
      </w:r>
    </w:p>
    <w:p w14:paraId="12E998E3">
      <w:pPr>
        <w:spacing w:line="360" w:lineRule="auto"/>
        <w:ind w:firstLine="560" w:firstLineChars="200"/>
        <w:jc w:val="right"/>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 xml:space="preserve">供应商（盖章）：         </w:t>
      </w:r>
    </w:p>
    <w:p w14:paraId="21399C09">
      <w:pPr>
        <w:spacing w:line="360" w:lineRule="auto"/>
        <w:ind w:firstLine="560" w:firstLineChars="200"/>
        <w:jc w:val="right"/>
        <w:textAlignment w:val="baseline"/>
        <w:rPr>
          <w:rStyle w:val="41"/>
          <w:rFonts w:hint="eastAsia" w:ascii="仿宋" w:hAnsi="仿宋" w:eastAsia="仿宋" w:cs="仿宋"/>
          <w:b w:val="0"/>
          <w:bCs w:val="0"/>
          <w:sz w:val="28"/>
          <w:szCs w:val="28"/>
          <w:highlight w:val="none"/>
        </w:rPr>
      </w:pPr>
      <w:r>
        <w:rPr>
          <w:rStyle w:val="41"/>
          <w:rFonts w:hint="eastAsia" w:ascii="仿宋" w:hAnsi="仿宋" w:eastAsia="仿宋" w:cs="仿宋"/>
          <w:b w:val="0"/>
          <w:bCs w:val="0"/>
          <w:sz w:val="28"/>
          <w:szCs w:val="28"/>
          <w:highlight w:val="none"/>
        </w:rPr>
        <w:t xml:space="preserve">                                                  年   月    日</w:t>
      </w:r>
    </w:p>
    <w:p w14:paraId="1D9AAA1A">
      <w:pPr>
        <w:spacing w:line="360" w:lineRule="auto"/>
        <w:jc w:val="center"/>
        <w:textAlignment w:val="baseline"/>
        <w:rPr>
          <w:rStyle w:val="41"/>
          <w:rFonts w:hint="eastAsia" w:ascii="仿宋" w:hAnsi="仿宋" w:eastAsia="仿宋" w:cs="仿宋"/>
          <w:b/>
          <w:bCs/>
          <w:sz w:val="28"/>
          <w:szCs w:val="28"/>
          <w:highlight w:val="none"/>
        </w:rPr>
      </w:pPr>
    </w:p>
    <w:p w14:paraId="695E913D">
      <w:pPr>
        <w:spacing w:line="360" w:lineRule="auto"/>
        <w:jc w:val="center"/>
        <w:textAlignment w:val="baseline"/>
        <w:rPr>
          <w:rStyle w:val="41"/>
          <w:rFonts w:hint="eastAsia" w:ascii="仿宋" w:hAnsi="仿宋" w:eastAsia="仿宋" w:cs="仿宋"/>
          <w:b/>
          <w:bCs/>
          <w:sz w:val="28"/>
          <w:szCs w:val="28"/>
          <w:highlight w:val="none"/>
        </w:rPr>
      </w:pPr>
    </w:p>
    <w:p w14:paraId="4BFBE054">
      <w:pPr>
        <w:spacing w:line="360" w:lineRule="auto"/>
        <w:jc w:val="center"/>
        <w:textAlignment w:val="baseline"/>
        <w:rPr>
          <w:rStyle w:val="41"/>
          <w:rFonts w:hint="eastAsia" w:ascii="仿宋" w:hAnsi="仿宋" w:eastAsia="仿宋" w:cs="仿宋"/>
          <w:b/>
          <w:bCs/>
          <w:sz w:val="28"/>
          <w:szCs w:val="28"/>
          <w:highlight w:val="none"/>
        </w:rPr>
      </w:pPr>
    </w:p>
    <w:p w14:paraId="48D93034">
      <w:pPr>
        <w:pStyle w:val="9"/>
        <w:keepNext w:val="0"/>
        <w:keepLines w:val="0"/>
        <w:widowControl/>
        <w:autoSpaceDE w:val="0"/>
        <w:autoSpaceDN w:val="0"/>
        <w:spacing w:line="360" w:lineRule="auto"/>
        <w:ind w:firstLine="562"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2、施工组织设计</w:t>
      </w:r>
    </w:p>
    <w:p w14:paraId="3DB14DE8">
      <w:pPr>
        <w:ind w:firstLine="562" w:firstLineChars="200"/>
        <w:jc w:val="center"/>
        <w:rPr>
          <w:rFonts w:hint="eastAsia" w:ascii="仿宋" w:hAnsi="仿宋" w:eastAsia="仿宋" w:cs="仿宋"/>
          <w:sz w:val="28"/>
          <w:szCs w:val="28"/>
          <w:highlight w:val="none"/>
        </w:rPr>
        <w:sectPr>
          <w:headerReference r:id="rId6" w:type="default"/>
          <w:footerReference r:id="rId7" w:type="default"/>
          <w:pgSz w:w="11911" w:h="16849"/>
          <w:pgMar w:top="1134" w:right="1134" w:bottom="1134" w:left="1134" w:header="720" w:footer="720" w:gutter="0"/>
          <w:pgNumType w:fmt="decimal"/>
          <w:cols w:space="0" w:num="1"/>
          <w:rtlGutter w:val="0"/>
          <w:docGrid w:type="lines" w:linePitch="317" w:charSpace="0"/>
        </w:sectPr>
      </w:pPr>
      <w:r>
        <w:rPr>
          <w:rFonts w:hint="eastAsia" w:ascii="仿宋" w:hAnsi="仿宋" w:eastAsia="仿宋" w:cs="仿宋"/>
          <w:b/>
          <w:bCs/>
          <w:kern w:val="0"/>
          <w:sz w:val="28"/>
          <w:szCs w:val="28"/>
          <w:highlight w:val="none"/>
        </w:rPr>
        <w:t>（格式自拟）</w:t>
      </w:r>
    </w:p>
    <w:p w14:paraId="15494136">
      <w:pPr>
        <w:pStyle w:val="9"/>
        <w:keepNext w:val="0"/>
        <w:keepLines w:val="0"/>
        <w:widowControl/>
        <w:autoSpaceDE w:val="0"/>
        <w:autoSpaceDN w:val="0"/>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、其他相关证明材料</w:t>
      </w:r>
    </w:p>
    <w:p w14:paraId="633246DC">
      <w:pPr>
        <w:pStyle w:val="6"/>
        <w:spacing w:before="160" w:line="364" w:lineRule="auto"/>
        <w:ind w:left="220" w:right="361"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提供符合磋商公告、采购需求及评审方法和标准规定的相关证明文件。</w:t>
      </w:r>
    </w:p>
    <w:p w14:paraId="53F168A9">
      <w:pPr>
        <w:rPr>
          <w:rFonts w:hint="eastAsia" w:ascii="仿宋" w:hAnsi="仿宋" w:eastAsia="仿宋" w:cs="仿宋"/>
          <w:b/>
          <w:bCs/>
          <w:sz w:val="28"/>
          <w:szCs w:val="28"/>
          <w:highlight w:val="none"/>
        </w:rPr>
      </w:pPr>
    </w:p>
    <w:p w14:paraId="44486898">
      <w:pPr>
        <w:rPr>
          <w:rFonts w:hint="eastAsia" w:ascii="仿宋" w:hAnsi="仿宋" w:eastAsia="仿宋" w:cs="仿宋"/>
          <w:b/>
          <w:bCs/>
          <w:sz w:val="28"/>
          <w:szCs w:val="28"/>
          <w:highlight w:val="none"/>
        </w:rPr>
      </w:pPr>
    </w:p>
    <w:p w14:paraId="2BFAC3AE">
      <w:pPr>
        <w:rPr>
          <w:rFonts w:hint="eastAsia" w:ascii="仿宋" w:hAnsi="仿宋" w:eastAsia="仿宋" w:cs="仿宋"/>
          <w:b/>
          <w:bCs/>
          <w:sz w:val="28"/>
          <w:szCs w:val="28"/>
          <w:highlight w:val="none"/>
        </w:rPr>
      </w:pPr>
    </w:p>
    <w:p w14:paraId="67F4CA1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203693A">
      <w:pPr>
        <w:pStyle w:val="7"/>
        <w:bidi w:val="0"/>
        <w:jc w:val="center"/>
        <w:rPr>
          <w:rFonts w:hint="eastAsia" w:ascii="仿宋" w:hAnsi="仿宋" w:eastAsia="仿宋" w:cs="仿宋"/>
          <w:highlight w:val="none"/>
          <w:lang w:val="en-US" w:eastAsia="zh-CN"/>
        </w:rPr>
      </w:pPr>
      <w:bookmarkStart w:id="1147" w:name="_Toc21367"/>
      <w:r>
        <w:rPr>
          <w:rFonts w:hint="eastAsia" w:ascii="仿宋" w:hAnsi="仿宋" w:eastAsia="仿宋" w:cs="仿宋"/>
          <w:highlight w:val="none"/>
          <w:lang w:val="en-US" w:eastAsia="zh-CN"/>
        </w:rPr>
        <w:t>第八章  最终报价或第   次报价表</w:t>
      </w:r>
      <w:bookmarkEnd w:id="1147"/>
    </w:p>
    <w:p w14:paraId="7E96A292">
      <w:pPr>
        <w:widowControl/>
        <w:spacing w:line="360" w:lineRule="auto"/>
        <w:ind w:right="-28"/>
        <w:jc w:val="left"/>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1A08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633" w:type="dxa"/>
            <w:noWrap w:val="0"/>
            <w:vAlign w:val="bottom"/>
          </w:tcPr>
          <w:p w14:paraId="2C95B5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谈判供应商名称</w:t>
            </w:r>
          </w:p>
        </w:tc>
        <w:tc>
          <w:tcPr>
            <w:tcW w:w="6492" w:type="dxa"/>
            <w:noWrap w:val="0"/>
            <w:vAlign w:val="bottom"/>
          </w:tcPr>
          <w:p w14:paraId="7B3C48FB">
            <w:pPr>
              <w:spacing w:line="360" w:lineRule="auto"/>
              <w:jc w:val="left"/>
              <w:rPr>
                <w:rFonts w:hint="eastAsia" w:ascii="宋体" w:hAnsi="宋体" w:eastAsia="宋体" w:cs="宋体"/>
                <w:color w:val="auto"/>
                <w:sz w:val="24"/>
                <w:szCs w:val="24"/>
                <w:highlight w:val="none"/>
                <w:lang w:eastAsia="zh-CN"/>
              </w:rPr>
            </w:pPr>
          </w:p>
        </w:tc>
      </w:tr>
      <w:tr w14:paraId="2735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633" w:type="dxa"/>
            <w:noWrap w:val="0"/>
            <w:vAlign w:val="center"/>
          </w:tcPr>
          <w:p w14:paraId="6E763E2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报价表</w:t>
            </w:r>
          </w:p>
        </w:tc>
        <w:tc>
          <w:tcPr>
            <w:tcW w:w="6492" w:type="dxa"/>
            <w:noWrap w:val="0"/>
            <w:vAlign w:val="center"/>
          </w:tcPr>
          <w:p w14:paraId="0E7D7FDB">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小写：</w:t>
            </w:r>
            <w:r>
              <w:rPr>
                <w:rFonts w:hint="eastAsia" w:ascii="宋体" w:hAnsi="宋体" w:eastAsia="宋体" w:cs="宋体"/>
                <w:color w:val="auto"/>
                <w:sz w:val="24"/>
                <w:szCs w:val="24"/>
                <w:highlight w:val="none"/>
                <w:lang w:val="en-US" w:eastAsia="zh-CN"/>
              </w:rPr>
              <w:t xml:space="preserve">    元</w:t>
            </w:r>
          </w:p>
          <w:p w14:paraId="30D3AF27">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大写：</w:t>
            </w:r>
          </w:p>
        </w:tc>
      </w:tr>
      <w:tr w14:paraId="7481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33" w:type="dxa"/>
            <w:noWrap w:val="0"/>
            <w:vAlign w:val="center"/>
          </w:tcPr>
          <w:p w14:paraId="6F598878">
            <w:pPr>
              <w:spacing w:line="360" w:lineRule="auto"/>
              <w:jc w:val="center"/>
              <w:rPr>
                <w:rFonts w:hint="eastAsia" w:ascii="宋体" w:hAnsi="宋体" w:eastAsia="宋体" w:cs="宋体"/>
                <w:color w:val="auto"/>
                <w:sz w:val="24"/>
                <w:szCs w:val="24"/>
                <w:highlight w:val="none"/>
              </w:rPr>
            </w:pPr>
          </w:p>
          <w:p w14:paraId="3A82B1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是否响应</w:t>
            </w:r>
          </w:p>
          <w:p w14:paraId="2D2E670F">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文件的</w:t>
            </w:r>
          </w:p>
          <w:p w14:paraId="1C89EC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各项要求</w:t>
            </w:r>
          </w:p>
        </w:tc>
        <w:tc>
          <w:tcPr>
            <w:tcW w:w="6492" w:type="dxa"/>
            <w:noWrap w:val="0"/>
            <w:vAlign w:val="center"/>
          </w:tcPr>
          <w:p w14:paraId="483AD5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否□   （划√）</w:t>
            </w:r>
          </w:p>
        </w:tc>
      </w:tr>
      <w:tr w14:paraId="60D6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33" w:type="dxa"/>
            <w:noWrap w:val="0"/>
            <w:vAlign w:val="center"/>
          </w:tcPr>
          <w:p w14:paraId="018558A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6492" w:type="dxa"/>
            <w:noWrap w:val="0"/>
            <w:vAlign w:val="center"/>
          </w:tcPr>
          <w:p w14:paraId="7AB0C72F">
            <w:pPr>
              <w:adjustRightInd w:val="0"/>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日历天</w:t>
            </w:r>
          </w:p>
        </w:tc>
      </w:tr>
      <w:tr w14:paraId="0092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33" w:type="dxa"/>
            <w:noWrap w:val="0"/>
            <w:vAlign w:val="center"/>
          </w:tcPr>
          <w:p w14:paraId="52726B9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w:t>
            </w:r>
          </w:p>
        </w:tc>
        <w:tc>
          <w:tcPr>
            <w:tcW w:w="6492" w:type="dxa"/>
            <w:noWrap w:val="0"/>
            <w:vAlign w:val="center"/>
          </w:tcPr>
          <w:p w14:paraId="3F9184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p>
        </w:tc>
      </w:tr>
      <w:tr w14:paraId="6F7B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2633" w:type="dxa"/>
            <w:noWrap w:val="0"/>
            <w:vAlign w:val="center"/>
          </w:tcPr>
          <w:p w14:paraId="228C357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6492" w:type="dxa"/>
            <w:noWrap w:val="0"/>
            <w:vAlign w:val="center"/>
          </w:tcPr>
          <w:p w14:paraId="745A1491">
            <w:pPr>
              <w:spacing w:line="360" w:lineRule="auto"/>
              <w:jc w:val="center"/>
              <w:rPr>
                <w:rFonts w:hint="eastAsia" w:ascii="宋体" w:hAnsi="宋体" w:eastAsia="宋体" w:cs="宋体"/>
                <w:color w:val="auto"/>
                <w:sz w:val="24"/>
                <w:szCs w:val="24"/>
                <w:highlight w:val="none"/>
              </w:rPr>
            </w:pPr>
          </w:p>
        </w:tc>
      </w:tr>
    </w:tbl>
    <w:p w14:paraId="052ACCF6">
      <w:pPr>
        <w:spacing w:line="360" w:lineRule="auto"/>
        <w:rPr>
          <w:rFonts w:hint="eastAsia" w:ascii="宋体" w:hAnsi="宋体" w:eastAsia="宋体" w:cs="宋体"/>
          <w:color w:val="auto"/>
          <w:sz w:val="24"/>
          <w:szCs w:val="24"/>
          <w:highlight w:val="none"/>
        </w:rPr>
      </w:pPr>
    </w:p>
    <w:p w14:paraId="605A77D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授权代表签字：</w:t>
      </w:r>
    </w:p>
    <w:p w14:paraId="29FCFB2C">
      <w:pPr>
        <w:spacing w:line="360" w:lineRule="auto"/>
        <w:ind w:firstLine="480" w:firstLineChars="200"/>
        <w:jc w:val="left"/>
        <w:rPr>
          <w:rFonts w:hint="eastAsia" w:ascii="宋体" w:hAnsi="宋体" w:eastAsia="宋体" w:cs="宋体"/>
          <w:color w:val="auto"/>
          <w:sz w:val="24"/>
          <w:szCs w:val="24"/>
          <w:highlight w:val="none"/>
        </w:rPr>
      </w:pPr>
    </w:p>
    <w:p w14:paraId="7A69158D">
      <w:pPr>
        <w:spacing w:line="360" w:lineRule="auto"/>
        <w:ind w:firstLine="480" w:firstLineChars="200"/>
        <w:jc w:val="center"/>
        <w:rPr>
          <w:rFonts w:hint="eastAsia" w:ascii="宋体" w:hAnsi="宋体" w:eastAsia="宋体" w:cs="宋体"/>
          <w:color w:val="auto"/>
          <w:sz w:val="24"/>
          <w:szCs w:val="24"/>
          <w:highlight w:val="none"/>
        </w:rPr>
      </w:pPr>
      <w:bookmarkStart w:id="1148" w:name="_Toc4224_WPSOffice_Level1"/>
      <w:bookmarkStart w:id="1149" w:name="_Toc20849_WPSOffice_Level1"/>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bookmarkEnd w:id="1148"/>
      <w:bookmarkEnd w:id="1149"/>
    </w:p>
    <w:p w14:paraId="167F2E21">
      <w:pPr>
        <w:spacing w:before="0" w:line="360" w:lineRule="auto"/>
        <w:ind w:left="0"/>
        <w:rPr>
          <w:rFonts w:ascii="仿宋" w:hAnsi="仿宋" w:eastAsia="仿宋" w:cs="仿宋"/>
          <w:sz w:val="28"/>
          <w:szCs w:val="28"/>
          <w:highlight w:val="none"/>
        </w:rPr>
      </w:pPr>
      <w:r>
        <w:rPr>
          <w:rFonts w:hint="eastAsia" w:ascii="宋体" w:hAnsi="宋体" w:eastAsia="宋体" w:cs="宋体"/>
          <w:color w:val="auto"/>
          <w:sz w:val="24"/>
          <w:szCs w:val="24"/>
          <w:highlight w:val="none"/>
        </w:rPr>
        <w:t>注：本页&lt;最终报价书&gt;由供应商在开标现场依谈判情况填写，请</w:t>
      </w:r>
      <w:r>
        <w:rPr>
          <w:rFonts w:hint="eastAsia" w:ascii="宋体" w:hAnsi="宋体" w:eastAsia="宋体" w:cs="宋体"/>
          <w:color w:val="auto"/>
          <w:sz w:val="24"/>
          <w:szCs w:val="24"/>
          <w:highlight w:val="none"/>
          <w:u w:val="double"/>
        </w:rPr>
        <w:t>加盖公章后</w:t>
      </w:r>
      <w:r>
        <w:rPr>
          <w:rFonts w:hint="eastAsia" w:ascii="宋体" w:hAnsi="宋体" w:eastAsia="宋体" w:cs="宋体"/>
          <w:color w:val="auto"/>
          <w:sz w:val="24"/>
          <w:szCs w:val="24"/>
          <w:highlight w:val="none"/>
        </w:rPr>
        <w:t>带至谈判现场备填（不需要制作在谈判响应文件内，请准备</w:t>
      </w:r>
      <w:r>
        <w:rPr>
          <w:rFonts w:hint="eastAsia" w:ascii="宋体" w:hAnsi="宋体" w:eastAsia="宋体" w:cs="宋体"/>
          <w:color w:val="auto"/>
          <w:sz w:val="24"/>
          <w:szCs w:val="24"/>
          <w:highlight w:val="none"/>
          <w:u w:val="double"/>
        </w:rPr>
        <w:t>不少于3张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该表供谈判现场报价使用，打印该空表用于现场最终报价</w:t>
      </w:r>
      <w:r>
        <w:rPr>
          <w:rFonts w:hint="eastAsia" w:ascii="宋体" w:hAnsi="宋体" w:eastAsia="宋体" w:cs="宋体"/>
          <w:color w:val="auto"/>
          <w:sz w:val="24"/>
          <w:szCs w:val="24"/>
          <w:highlight w:val="none"/>
        </w:rPr>
        <w:t>。考虑投标报价的方便，谈判供应商在填写的最终承诺报价为合同总价，项目所需费用均包含在合同总价内。供应商每次报价不得高于前一次报价。</w:t>
      </w:r>
    </w:p>
    <w:p w14:paraId="5036F415">
      <w:pPr>
        <w:pStyle w:val="21"/>
        <w:spacing w:beforeAutospacing="0" w:afterAutospacing="0" w:line="360" w:lineRule="exact"/>
        <w:jc w:val="center"/>
        <w:rPr>
          <w:rFonts w:hint="eastAsia" w:ascii="仿宋" w:hAnsi="仿宋" w:eastAsia="仿宋" w:cs="仿宋"/>
          <w:b/>
          <w:bCs/>
          <w:sz w:val="28"/>
          <w:szCs w:val="28"/>
          <w:highlight w:val="none"/>
        </w:rPr>
      </w:pPr>
    </w:p>
    <w:p w14:paraId="4C618642">
      <w:pPr>
        <w:pStyle w:val="21"/>
        <w:spacing w:beforeAutospacing="0" w:afterAutospacing="0" w:line="360" w:lineRule="exact"/>
        <w:jc w:val="center"/>
        <w:rPr>
          <w:rFonts w:hint="eastAsia" w:ascii="仿宋" w:hAnsi="仿宋" w:eastAsia="仿宋" w:cs="仿宋"/>
          <w:b/>
          <w:bCs/>
          <w:sz w:val="28"/>
          <w:szCs w:val="28"/>
          <w:highlight w:val="none"/>
        </w:rPr>
      </w:pPr>
    </w:p>
    <w:p w14:paraId="2C5E94B0">
      <w:pPr>
        <w:pStyle w:val="21"/>
        <w:spacing w:beforeAutospacing="0" w:afterAutospacing="0" w:line="360" w:lineRule="exact"/>
        <w:jc w:val="both"/>
        <w:rPr>
          <w:rFonts w:hint="eastAsia" w:ascii="仿宋" w:hAnsi="仿宋" w:eastAsia="仿宋" w:cs="仿宋"/>
          <w:b/>
          <w:bCs/>
          <w:sz w:val="28"/>
          <w:szCs w:val="28"/>
          <w:highlight w:val="none"/>
        </w:rPr>
      </w:pPr>
    </w:p>
    <w:sectPr>
      <w:footerReference r:id="rId8" w:type="default"/>
      <w:pgSz w:w="11911" w:h="16849"/>
      <w:pgMar w:top="1134" w:right="1134" w:bottom="1134" w:left="1134" w:header="720" w:footer="720"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BE7E344-C1AF-4A26-9E94-279B5DA80F75}"/>
  </w:font>
  <w:font w:name="黑体">
    <w:panose1 w:val="02010609060101010101"/>
    <w:charset w:val="86"/>
    <w:family w:val="auto"/>
    <w:pitch w:val="default"/>
    <w:sig w:usb0="800002BF" w:usb1="38CF7CFA" w:usb2="00000016" w:usb3="00000000" w:csb0="00040001" w:csb1="00000000"/>
    <w:embedRegular r:id="rId2" w:fontKey="{4CC29C4B-4F4D-47C5-9DE0-236768BFBE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48335C23-FC8D-40E3-BF97-B3A01D265B9E}"/>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E873BC99-40BA-4741-8E27-1A5361B2B849}"/>
  </w:font>
  <w:font w:name="Wingdings 2">
    <w:panose1 w:val="05020102010507070707"/>
    <w:charset w:val="02"/>
    <w:family w:val="roman"/>
    <w:pitch w:val="default"/>
    <w:sig w:usb0="00000000" w:usb1="00000000" w:usb2="00000000" w:usb3="00000000" w:csb0="80000000" w:csb1="00000000"/>
    <w:embedRegular r:id="rId5" w:fontKey="{4F966A24-2212-4A61-AE64-D73C33FFCF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80160">
    <w:pPr>
      <w:pStyle w:val="17"/>
      <w:tabs>
        <w:tab w:val="center" w:pos="5060"/>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CF7A">
    <w:pPr>
      <w:pStyle w:val="17"/>
      <w:tabs>
        <w:tab w:val="center" w:pos="506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26DB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826DBD">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2BDC9">
    <w:pPr>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CB664">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ECB664">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C6E9">
    <w:pPr>
      <w:spacing w:line="183" w:lineRule="auto"/>
      <w:ind w:left="4412"/>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99D7A">
                          <w:pPr>
                            <w:pStyle w:val="1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299D7A">
                    <w:pPr>
                      <w:pStyle w:val="1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0187C">
    <w:pPr>
      <w:spacing w:line="186" w:lineRule="auto"/>
      <w:ind w:left="4388"/>
      <w:rPr>
        <w:rFonts w:eastAsia="Times New Roma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27711">
                          <w:pPr>
                            <w:pStyle w:val="1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827711">
                    <w:pPr>
                      <w:pStyle w:val="17"/>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127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73B16"/>
    <w:multiLevelType w:val="singleLevel"/>
    <w:tmpl w:val="93973B16"/>
    <w:lvl w:ilvl="0" w:tentative="0">
      <w:start w:val="4"/>
      <w:numFmt w:val="chineseCounting"/>
      <w:suff w:val="space"/>
      <w:lvlText w:val="第%1章"/>
      <w:lvlJc w:val="left"/>
      <w:rPr>
        <w:rFonts w:hint="eastAsia"/>
      </w:rPr>
    </w:lvl>
  </w:abstractNum>
  <w:abstractNum w:abstractNumId="1">
    <w:nsid w:val="CB4A1F80"/>
    <w:multiLevelType w:val="singleLevel"/>
    <w:tmpl w:val="CB4A1F80"/>
    <w:lvl w:ilvl="0" w:tentative="0">
      <w:start w:val="2"/>
      <w:numFmt w:val="decimal"/>
      <w:suff w:val="nothing"/>
      <w:lvlText w:val="（%1）"/>
      <w:lvlJc w:val="left"/>
    </w:lvl>
  </w:abstractNum>
  <w:abstractNum w:abstractNumId="2">
    <w:nsid w:val="D71DC22B"/>
    <w:multiLevelType w:val="singleLevel"/>
    <w:tmpl w:val="D71DC22B"/>
    <w:lvl w:ilvl="0" w:tentative="0">
      <w:start w:val="6"/>
      <w:numFmt w:val="decimal"/>
      <w:lvlText w:val="%1."/>
      <w:lvlJc w:val="left"/>
      <w:pPr>
        <w:tabs>
          <w:tab w:val="left" w:pos="312"/>
        </w:tabs>
      </w:pPr>
    </w:lvl>
  </w:abstractNum>
  <w:abstractNum w:abstractNumId="3">
    <w:nsid w:val="EE087B01"/>
    <w:multiLevelType w:val="singleLevel"/>
    <w:tmpl w:val="EE087B01"/>
    <w:lvl w:ilvl="0" w:tentative="0">
      <w:start w:val="2"/>
      <w:numFmt w:val="decimal"/>
      <w:lvlText w:val="%1."/>
      <w:lvlJc w:val="left"/>
      <w:pPr>
        <w:tabs>
          <w:tab w:val="left" w:pos="312"/>
        </w:tabs>
      </w:pPr>
    </w:lvl>
  </w:abstractNum>
  <w:abstractNum w:abstractNumId="4">
    <w:nsid w:val="0782AC60"/>
    <w:multiLevelType w:val="singleLevel"/>
    <w:tmpl w:val="0782AC60"/>
    <w:lvl w:ilvl="0" w:tentative="0">
      <w:start w:val="1"/>
      <w:numFmt w:val="chineseCounting"/>
      <w:suff w:val="nothing"/>
      <w:lvlText w:val="%1、"/>
      <w:lvlJc w:val="left"/>
      <w:pPr>
        <w:ind w:left="0" w:firstLine="0"/>
      </w:pPr>
    </w:lvl>
  </w:abstractNum>
  <w:abstractNum w:abstractNumId="5">
    <w:nsid w:val="1BF75EEE"/>
    <w:multiLevelType w:val="singleLevel"/>
    <w:tmpl w:val="1BF75EEE"/>
    <w:lvl w:ilvl="0" w:tentative="0">
      <w:start w:val="2"/>
      <w:numFmt w:val="decimal"/>
      <w:suff w:val="space"/>
      <w:lvlText w:val="%1."/>
      <w:lvlJc w:val="left"/>
      <w:pPr>
        <w:ind w:left="0" w:firstLine="0"/>
      </w:pPr>
    </w:lvl>
  </w:abstractNum>
  <w:abstractNum w:abstractNumId="6">
    <w:nsid w:val="1F69399A"/>
    <w:multiLevelType w:val="singleLevel"/>
    <w:tmpl w:val="1F69399A"/>
    <w:lvl w:ilvl="0" w:tentative="0">
      <w:start w:val="3"/>
      <w:numFmt w:val="decimal"/>
      <w:suff w:val="nothing"/>
      <w:lvlText w:val="%1、"/>
      <w:lvlJc w:val="left"/>
      <w:pPr>
        <w:ind w:left="210"/>
      </w:pPr>
    </w:lvl>
  </w:abstractNum>
  <w:abstractNum w:abstractNumId="7">
    <w:nsid w:val="2C8AC223"/>
    <w:multiLevelType w:val="singleLevel"/>
    <w:tmpl w:val="2C8AC223"/>
    <w:lvl w:ilvl="0" w:tentative="0">
      <w:start w:val="1"/>
      <w:numFmt w:val="decimal"/>
      <w:suff w:val="nothing"/>
      <w:lvlText w:val="（%1）"/>
      <w:lvlJc w:val="left"/>
    </w:lvl>
  </w:abstractNum>
  <w:abstractNum w:abstractNumId="8">
    <w:nsid w:val="33A0459A"/>
    <w:multiLevelType w:val="multilevel"/>
    <w:tmpl w:val="33A0459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C857053"/>
    <w:multiLevelType w:val="singleLevel"/>
    <w:tmpl w:val="4C857053"/>
    <w:lvl w:ilvl="0" w:tentative="0">
      <w:start w:val="1"/>
      <w:numFmt w:val="decimal"/>
      <w:suff w:val="nothing"/>
      <w:lvlText w:val="（%1）"/>
      <w:lvlJc w:val="left"/>
    </w:lvl>
  </w:abstractNum>
  <w:abstractNum w:abstractNumId="10">
    <w:nsid w:val="5AA49D97"/>
    <w:multiLevelType w:val="singleLevel"/>
    <w:tmpl w:val="5AA49D97"/>
    <w:lvl w:ilvl="0" w:tentative="0">
      <w:start w:val="1"/>
      <w:numFmt w:val="chineseCounting"/>
      <w:suff w:val="nothing"/>
      <w:lvlText w:val="%1、"/>
      <w:lvlJc w:val="left"/>
    </w:lvl>
  </w:abstractNum>
  <w:abstractNum w:abstractNumId="11">
    <w:nsid w:val="5AA4D7B6"/>
    <w:multiLevelType w:val="singleLevel"/>
    <w:tmpl w:val="5AA4D7B6"/>
    <w:lvl w:ilvl="0" w:tentative="0">
      <w:start w:val="6"/>
      <w:numFmt w:val="chineseCounting"/>
      <w:suff w:val="nothing"/>
      <w:lvlText w:val="%1、"/>
      <w:lvlJc w:val="left"/>
    </w:lvl>
  </w:abstractNum>
  <w:abstractNum w:abstractNumId="12">
    <w:nsid w:val="65449631"/>
    <w:multiLevelType w:val="multilevel"/>
    <w:tmpl w:val="65449631"/>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2"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2987" w:hanging="241"/>
      </w:pPr>
      <w:rPr>
        <w:rFonts w:hint="default"/>
        <w:lang w:val="zh-CN" w:eastAsia="zh-CN" w:bidi="zh-CN"/>
      </w:rPr>
    </w:lvl>
    <w:lvl w:ilvl="4" w:tentative="0">
      <w:start w:val="0"/>
      <w:numFmt w:val="bullet"/>
      <w:lvlText w:val="•"/>
      <w:lvlJc w:val="left"/>
      <w:pPr>
        <w:ind w:left="3830" w:hanging="241"/>
      </w:pPr>
      <w:rPr>
        <w:rFonts w:hint="default"/>
        <w:lang w:val="zh-CN" w:eastAsia="zh-CN" w:bidi="zh-CN"/>
      </w:rPr>
    </w:lvl>
    <w:lvl w:ilvl="5" w:tentative="0">
      <w:start w:val="0"/>
      <w:numFmt w:val="bullet"/>
      <w:lvlText w:val="•"/>
      <w:lvlJc w:val="left"/>
      <w:pPr>
        <w:ind w:left="4673" w:hanging="241"/>
      </w:pPr>
      <w:rPr>
        <w:rFonts w:hint="default"/>
        <w:lang w:val="zh-CN" w:eastAsia="zh-CN" w:bidi="zh-CN"/>
      </w:rPr>
    </w:lvl>
    <w:lvl w:ilvl="6" w:tentative="0">
      <w:start w:val="0"/>
      <w:numFmt w:val="bullet"/>
      <w:lvlText w:val="•"/>
      <w:lvlJc w:val="left"/>
      <w:pPr>
        <w:ind w:left="5515" w:hanging="241"/>
      </w:pPr>
      <w:rPr>
        <w:rFonts w:hint="default"/>
        <w:lang w:val="zh-CN" w:eastAsia="zh-CN" w:bidi="zh-CN"/>
      </w:rPr>
    </w:lvl>
    <w:lvl w:ilvl="7" w:tentative="0">
      <w:start w:val="0"/>
      <w:numFmt w:val="bullet"/>
      <w:lvlText w:val="•"/>
      <w:lvlJc w:val="left"/>
      <w:pPr>
        <w:ind w:left="6358" w:hanging="241"/>
      </w:pPr>
      <w:rPr>
        <w:rFonts w:hint="default"/>
        <w:lang w:val="zh-CN" w:eastAsia="zh-CN" w:bidi="zh-CN"/>
      </w:rPr>
    </w:lvl>
    <w:lvl w:ilvl="8" w:tentative="0">
      <w:start w:val="0"/>
      <w:numFmt w:val="bullet"/>
      <w:lvlText w:val="•"/>
      <w:lvlJc w:val="left"/>
      <w:pPr>
        <w:ind w:left="7201" w:hanging="241"/>
      </w:pPr>
      <w:rPr>
        <w:rFonts w:hint="default"/>
        <w:lang w:val="zh-CN" w:eastAsia="zh-CN" w:bidi="zh-CN"/>
      </w:rPr>
    </w:lvl>
  </w:abstractNum>
  <w:num w:numId="1">
    <w:abstractNumId w:val="9"/>
  </w:num>
  <w:num w:numId="2">
    <w:abstractNumId w:val="0"/>
  </w:num>
  <w:num w:numId="3">
    <w:abstractNumId w:val="10"/>
  </w:num>
  <w:num w:numId="4">
    <w:abstractNumId w:val="11"/>
  </w:num>
  <w:num w:numId="5">
    <w:abstractNumId w:val="6"/>
  </w:num>
  <w:num w:numId="6">
    <w:abstractNumId w:val="3"/>
  </w:num>
  <w:num w:numId="7">
    <w:abstractNumId w:val="2"/>
  </w:num>
  <w:num w:numId="8">
    <w:abstractNumId w:val="1"/>
  </w:num>
  <w:num w:numId="9">
    <w:abstractNumId w:val="7"/>
  </w:num>
  <w:num w:numId="10">
    <w:abstractNumId w:val="8"/>
  </w:num>
  <w:num w:numId="11">
    <w:abstractNumId w:val="4"/>
    <w:lvlOverride w:ilvl="0">
      <w:startOverride w:val="1"/>
    </w:lvlOverride>
  </w:num>
  <w:num w:numId="12">
    <w:abstractNumId w:val="5"/>
    <w:lvlOverride w:ilvl="0">
      <w:startOverride w:val="2"/>
    </w:lvlOverride>
  </w:num>
  <w:num w:numId="1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hideSpellingErrors/>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jlkZWNkZjI0YzE1YWE4ZGM3ODcxYTVhYTE1MTQifQ=="/>
  </w:docVars>
  <w:rsids>
    <w:rsidRoot w:val="43E243EE"/>
    <w:rsid w:val="00192E6A"/>
    <w:rsid w:val="00254059"/>
    <w:rsid w:val="00382DEE"/>
    <w:rsid w:val="00610717"/>
    <w:rsid w:val="00633826"/>
    <w:rsid w:val="006B047E"/>
    <w:rsid w:val="007E2EF7"/>
    <w:rsid w:val="00A3470B"/>
    <w:rsid w:val="00B1651D"/>
    <w:rsid w:val="00D1753C"/>
    <w:rsid w:val="00D4567C"/>
    <w:rsid w:val="00F76CF0"/>
    <w:rsid w:val="00FB71C8"/>
    <w:rsid w:val="01191A21"/>
    <w:rsid w:val="01681EBC"/>
    <w:rsid w:val="016A2FB2"/>
    <w:rsid w:val="01707875"/>
    <w:rsid w:val="01744323"/>
    <w:rsid w:val="019D2150"/>
    <w:rsid w:val="01C51963"/>
    <w:rsid w:val="01C70CC5"/>
    <w:rsid w:val="01C81F50"/>
    <w:rsid w:val="01DF79C5"/>
    <w:rsid w:val="02464750"/>
    <w:rsid w:val="024D4A6E"/>
    <w:rsid w:val="026D4530"/>
    <w:rsid w:val="02704AC1"/>
    <w:rsid w:val="027225E3"/>
    <w:rsid w:val="02C32E43"/>
    <w:rsid w:val="02E9371F"/>
    <w:rsid w:val="02EC389F"/>
    <w:rsid w:val="03066103"/>
    <w:rsid w:val="03457CFC"/>
    <w:rsid w:val="035954C6"/>
    <w:rsid w:val="03597303"/>
    <w:rsid w:val="035E01C7"/>
    <w:rsid w:val="03715F68"/>
    <w:rsid w:val="037B10A2"/>
    <w:rsid w:val="03851F07"/>
    <w:rsid w:val="03BB7FBE"/>
    <w:rsid w:val="03CA16FC"/>
    <w:rsid w:val="03CA5D33"/>
    <w:rsid w:val="03F63A68"/>
    <w:rsid w:val="04021E15"/>
    <w:rsid w:val="043438CC"/>
    <w:rsid w:val="045A1585"/>
    <w:rsid w:val="04671EF4"/>
    <w:rsid w:val="049A7BD3"/>
    <w:rsid w:val="04CD61FB"/>
    <w:rsid w:val="04FA4B16"/>
    <w:rsid w:val="05216546"/>
    <w:rsid w:val="05257C6D"/>
    <w:rsid w:val="055A1BF6"/>
    <w:rsid w:val="05987A73"/>
    <w:rsid w:val="05C649F8"/>
    <w:rsid w:val="05E05ABA"/>
    <w:rsid w:val="05E824CF"/>
    <w:rsid w:val="05FC73D8"/>
    <w:rsid w:val="064816A9"/>
    <w:rsid w:val="06781DF8"/>
    <w:rsid w:val="069C6813"/>
    <w:rsid w:val="06BB2651"/>
    <w:rsid w:val="06F66BC9"/>
    <w:rsid w:val="071D18E6"/>
    <w:rsid w:val="072E6A03"/>
    <w:rsid w:val="074D6091"/>
    <w:rsid w:val="077C22D7"/>
    <w:rsid w:val="078F7797"/>
    <w:rsid w:val="079F30E0"/>
    <w:rsid w:val="07B90CB8"/>
    <w:rsid w:val="07C7281B"/>
    <w:rsid w:val="07D134BC"/>
    <w:rsid w:val="07FD163F"/>
    <w:rsid w:val="082A0DF6"/>
    <w:rsid w:val="082C4FE6"/>
    <w:rsid w:val="08605BE9"/>
    <w:rsid w:val="087A3C3E"/>
    <w:rsid w:val="088B74D0"/>
    <w:rsid w:val="089A4646"/>
    <w:rsid w:val="08A059D4"/>
    <w:rsid w:val="08A63526"/>
    <w:rsid w:val="08CE2541"/>
    <w:rsid w:val="090F79F0"/>
    <w:rsid w:val="0913264A"/>
    <w:rsid w:val="09261C72"/>
    <w:rsid w:val="092C55A7"/>
    <w:rsid w:val="093A1985"/>
    <w:rsid w:val="09732A37"/>
    <w:rsid w:val="09776735"/>
    <w:rsid w:val="09AD29F2"/>
    <w:rsid w:val="09CD37D2"/>
    <w:rsid w:val="09DF629D"/>
    <w:rsid w:val="09EB2C7F"/>
    <w:rsid w:val="0A0106F5"/>
    <w:rsid w:val="0A195C1F"/>
    <w:rsid w:val="0A285306"/>
    <w:rsid w:val="0A326B00"/>
    <w:rsid w:val="0A602570"/>
    <w:rsid w:val="0A64706C"/>
    <w:rsid w:val="0A6D52D0"/>
    <w:rsid w:val="0A73514E"/>
    <w:rsid w:val="0A8729A8"/>
    <w:rsid w:val="0A943144"/>
    <w:rsid w:val="0AEE1957"/>
    <w:rsid w:val="0AFD54F2"/>
    <w:rsid w:val="0B0860CB"/>
    <w:rsid w:val="0B0F2047"/>
    <w:rsid w:val="0B185CF6"/>
    <w:rsid w:val="0B23426E"/>
    <w:rsid w:val="0B4E7969"/>
    <w:rsid w:val="0B582596"/>
    <w:rsid w:val="0B6902FF"/>
    <w:rsid w:val="0B871C22"/>
    <w:rsid w:val="0B917A95"/>
    <w:rsid w:val="0BB87FE9"/>
    <w:rsid w:val="0BC83447"/>
    <w:rsid w:val="0C02154A"/>
    <w:rsid w:val="0C267619"/>
    <w:rsid w:val="0C360E8F"/>
    <w:rsid w:val="0C48260B"/>
    <w:rsid w:val="0C497BBE"/>
    <w:rsid w:val="0C6679CE"/>
    <w:rsid w:val="0C8A49D1"/>
    <w:rsid w:val="0C9C3EB6"/>
    <w:rsid w:val="0CA17C02"/>
    <w:rsid w:val="0CB16402"/>
    <w:rsid w:val="0D3F756A"/>
    <w:rsid w:val="0D570D57"/>
    <w:rsid w:val="0D6671EC"/>
    <w:rsid w:val="0D6C7F21"/>
    <w:rsid w:val="0D7B2500"/>
    <w:rsid w:val="0DB60E48"/>
    <w:rsid w:val="0DB8731C"/>
    <w:rsid w:val="0DE12F50"/>
    <w:rsid w:val="0E1B599E"/>
    <w:rsid w:val="0E2A021A"/>
    <w:rsid w:val="0E2C21E4"/>
    <w:rsid w:val="0E440BB0"/>
    <w:rsid w:val="0E770F85"/>
    <w:rsid w:val="0E7C659C"/>
    <w:rsid w:val="0ED6170B"/>
    <w:rsid w:val="0EED2B67"/>
    <w:rsid w:val="0EFD2FF1"/>
    <w:rsid w:val="0F2D1366"/>
    <w:rsid w:val="0F4672D5"/>
    <w:rsid w:val="0F4F30AC"/>
    <w:rsid w:val="0F515C7A"/>
    <w:rsid w:val="0F7C48C0"/>
    <w:rsid w:val="0F83045C"/>
    <w:rsid w:val="0F8B118C"/>
    <w:rsid w:val="0FEE45E9"/>
    <w:rsid w:val="10157499"/>
    <w:rsid w:val="10167C69"/>
    <w:rsid w:val="10202503"/>
    <w:rsid w:val="10406CD2"/>
    <w:rsid w:val="105552F6"/>
    <w:rsid w:val="107B6091"/>
    <w:rsid w:val="108A4FA0"/>
    <w:rsid w:val="10A130D8"/>
    <w:rsid w:val="10D40B33"/>
    <w:rsid w:val="11074842"/>
    <w:rsid w:val="116577BB"/>
    <w:rsid w:val="117E4997"/>
    <w:rsid w:val="11800151"/>
    <w:rsid w:val="11966AB1"/>
    <w:rsid w:val="11C26ABF"/>
    <w:rsid w:val="11DA1ACD"/>
    <w:rsid w:val="11DA3D05"/>
    <w:rsid w:val="12165363"/>
    <w:rsid w:val="121B0209"/>
    <w:rsid w:val="12C30C3D"/>
    <w:rsid w:val="12DD353F"/>
    <w:rsid w:val="131B0C82"/>
    <w:rsid w:val="13246561"/>
    <w:rsid w:val="132C67E2"/>
    <w:rsid w:val="137B5074"/>
    <w:rsid w:val="13852C35"/>
    <w:rsid w:val="13BA2040"/>
    <w:rsid w:val="14123C2A"/>
    <w:rsid w:val="145D3F2A"/>
    <w:rsid w:val="147046B0"/>
    <w:rsid w:val="14A625C4"/>
    <w:rsid w:val="14B00D4D"/>
    <w:rsid w:val="14D449F5"/>
    <w:rsid w:val="15044944"/>
    <w:rsid w:val="154A11A2"/>
    <w:rsid w:val="1561134C"/>
    <w:rsid w:val="15681628"/>
    <w:rsid w:val="15697B8A"/>
    <w:rsid w:val="157746F0"/>
    <w:rsid w:val="157B135B"/>
    <w:rsid w:val="158658E1"/>
    <w:rsid w:val="15CD354A"/>
    <w:rsid w:val="15DB44F0"/>
    <w:rsid w:val="15E26938"/>
    <w:rsid w:val="15E74C42"/>
    <w:rsid w:val="160C07A4"/>
    <w:rsid w:val="16161084"/>
    <w:rsid w:val="16184DFC"/>
    <w:rsid w:val="16610551"/>
    <w:rsid w:val="1669172F"/>
    <w:rsid w:val="166E76E2"/>
    <w:rsid w:val="168626AD"/>
    <w:rsid w:val="16D91C93"/>
    <w:rsid w:val="16ED44DA"/>
    <w:rsid w:val="17040DFD"/>
    <w:rsid w:val="171F21BA"/>
    <w:rsid w:val="172E1173"/>
    <w:rsid w:val="1739327C"/>
    <w:rsid w:val="17457E73"/>
    <w:rsid w:val="174A5489"/>
    <w:rsid w:val="1787048B"/>
    <w:rsid w:val="179E3A27"/>
    <w:rsid w:val="17A50911"/>
    <w:rsid w:val="17B40B54"/>
    <w:rsid w:val="17B467F6"/>
    <w:rsid w:val="17B61FA5"/>
    <w:rsid w:val="17B76F35"/>
    <w:rsid w:val="180475EA"/>
    <w:rsid w:val="180D67D3"/>
    <w:rsid w:val="180F082F"/>
    <w:rsid w:val="18377E6E"/>
    <w:rsid w:val="183B3024"/>
    <w:rsid w:val="183D34A2"/>
    <w:rsid w:val="18447674"/>
    <w:rsid w:val="185F6C71"/>
    <w:rsid w:val="188F4ED8"/>
    <w:rsid w:val="189D5A8C"/>
    <w:rsid w:val="18D53478"/>
    <w:rsid w:val="18ED4F39"/>
    <w:rsid w:val="1912647A"/>
    <w:rsid w:val="193261D5"/>
    <w:rsid w:val="19377C8F"/>
    <w:rsid w:val="19456052"/>
    <w:rsid w:val="195A5C74"/>
    <w:rsid w:val="19620BB5"/>
    <w:rsid w:val="196404B5"/>
    <w:rsid w:val="19744A3F"/>
    <w:rsid w:val="198A7DBF"/>
    <w:rsid w:val="198E6D89"/>
    <w:rsid w:val="19C5529B"/>
    <w:rsid w:val="19E75211"/>
    <w:rsid w:val="19EF40C6"/>
    <w:rsid w:val="1A457A36"/>
    <w:rsid w:val="1A491A28"/>
    <w:rsid w:val="1A5342E4"/>
    <w:rsid w:val="1A8C55EC"/>
    <w:rsid w:val="1AC9700C"/>
    <w:rsid w:val="1ACA5BAA"/>
    <w:rsid w:val="1ACB3F75"/>
    <w:rsid w:val="1ACF029A"/>
    <w:rsid w:val="1AEE25CF"/>
    <w:rsid w:val="1B326960"/>
    <w:rsid w:val="1B354FBC"/>
    <w:rsid w:val="1B4E738E"/>
    <w:rsid w:val="1B764FE7"/>
    <w:rsid w:val="1B9273FE"/>
    <w:rsid w:val="1BA66B02"/>
    <w:rsid w:val="1BBE5FEA"/>
    <w:rsid w:val="1BC265FD"/>
    <w:rsid w:val="1BDC68CC"/>
    <w:rsid w:val="1BED0D00"/>
    <w:rsid w:val="1C5A5BED"/>
    <w:rsid w:val="1C6D4AF7"/>
    <w:rsid w:val="1C9D327D"/>
    <w:rsid w:val="1CAC5923"/>
    <w:rsid w:val="1CCA3F15"/>
    <w:rsid w:val="1D091942"/>
    <w:rsid w:val="1D306ECF"/>
    <w:rsid w:val="1D470009"/>
    <w:rsid w:val="1D813BCE"/>
    <w:rsid w:val="1DB16262"/>
    <w:rsid w:val="1DB775F0"/>
    <w:rsid w:val="1E4D2EE5"/>
    <w:rsid w:val="1E6A0F24"/>
    <w:rsid w:val="1E8D7971"/>
    <w:rsid w:val="1E9D67E6"/>
    <w:rsid w:val="1EE14925"/>
    <w:rsid w:val="1EFD155B"/>
    <w:rsid w:val="1F072441"/>
    <w:rsid w:val="1F0A407D"/>
    <w:rsid w:val="1F132604"/>
    <w:rsid w:val="1F273A6F"/>
    <w:rsid w:val="1F29455A"/>
    <w:rsid w:val="1F2E38E2"/>
    <w:rsid w:val="1F417171"/>
    <w:rsid w:val="1F4560C7"/>
    <w:rsid w:val="1F495EDC"/>
    <w:rsid w:val="1F4D3B8E"/>
    <w:rsid w:val="1F523D91"/>
    <w:rsid w:val="1F5C044F"/>
    <w:rsid w:val="1F7751F3"/>
    <w:rsid w:val="1F8654CC"/>
    <w:rsid w:val="1FA12306"/>
    <w:rsid w:val="1FB43A0C"/>
    <w:rsid w:val="1FE12702"/>
    <w:rsid w:val="20320A46"/>
    <w:rsid w:val="20322F5E"/>
    <w:rsid w:val="203359E1"/>
    <w:rsid w:val="206A7390"/>
    <w:rsid w:val="20975BE7"/>
    <w:rsid w:val="20B9542D"/>
    <w:rsid w:val="20E86627"/>
    <w:rsid w:val="20FA1CCE"/>
    <w:rsid w:val="21027150"/>
    <w:rsid w:val="21304853"/>
    <w:rsid w:val="21380A48"/>
    <w:rsid w:val="2147185A"/>
    <w:rsid w:val="214F216C"/>
    <w:rsid w:val="21507EF7"/>
    <w:rsid w:val="21590F90"/>
    <w:rsid w:val="21684DDE"/>
    <w:rsid w:val="21A60522"/>
    <w:rsid w:val="21EF4752"/>
    <w:rsid w:val="222D1C2F"/>
    <w:rsid w:val="227D2BB6"/>
    <w:rsid w:val="229C3B17"/>
    <w:rsid w:val="22B3173E"/>
    <w:rsid w:val="22D12F02"/>
    <w:rsid w:val="22E569AE"/>
    <w:rsid w:val="22E84709"/>
    <w:rsid w:val="2303047E"/>
    <w:rsid w:val="23137077"/>
    <w:rsid w:val="2345488C"/>
    <w:rsid w:val="236818E8"/>
    <w:rsid w:val="237613B4"/>
    <w:rsid w:val="23EB3CC8"/>
    <w:rsid w:val="23EB61A9"/>
    <w:rsid w:val="23F705C5"/>
    <w:rsid w:val="23FF13A9"/>
    <w:rsid w:val="245C5FE8"/>
    <w:rsid w:val="24D03CD9"/>
    <w:rsid w:val="24D47FF1"/>
    <w:rsid w:val="24DD793C"/>
    <w:rsid w:val="24F133E8"/>
    <w:rsid w:val="252B1EC8"/>
    <w:rsid w:val="25304A89"/>
    <w:rsid w:val="2536529E"/>
    <w:rsid w:val="260B04D9"/>
    <w:rsid w:val="265C2AE3"/>
    <w:rsid w:val="266F6CBA"/>
    <w:rsid w:val="26BD6FAE"/>
    <w:rsid w:val="27150AA2"/>
    <w:rsid w:val="272E7266"/>
    <w:rsid w:val="2731461A"/>
    <w:rsid w:val="274D2AA1"/>
    <w:rsid w:val="27531DF6"/>
    <w:rsid w:val="27CE5C62"/>
    <w:rsid w:val="27D97C81"/>
    <w:rsid w:val="27DA0163"/>
    <w:rsid w:val="28416EF1"/>
    <w:rsid w:val="28506677"/>
    <w:rsid w:val="286F595B"/>
    <w:rsid w:val="2890116A"/>
    <w:rsid w:val="28F2772E"/>
    <w:rsid w:val="29144808"/>
    <w:rsid w:val="295977AD"/>
    <w:rsid w:val="29883BEF"/>
    <w:rsid w:val="299A404E"/>
    <w:rsid w:val="299B11E3"/>
    <w:rsid w:val="29B916A9"/>
    <w:rsid w:val="29C77BDF"/>
    <w:rsid w:val="2A13795C"/>
    <w:rsid w:val="2A2E29E8"/>
    <w:rsid w:val="2A5F4221"/>
    <w:rsid w:val="2A8B1BE9"/>
    <w:rsid w:val="2AC86992"/>
    <w:rsid w:val="2B033E75"/>
    <w:rsid w:val="2B7B58B7"/>
    <w:rsid w:val="2B991AB0"/>
    <w:rsid w:val="2BAA0E71"/>
    <w:rsid w:val="2BB270C6"/>
    <w:rsid w:val="2BB62043"/>
    <w:rsid w:val="2BC5112A"/>
    <w:rsid w:val="2C161986"/>
    <w:rsid w:val="2C4464F3"/>
    <w:rsid w:val="2C5C508C"/>
    <w:rsid w:val="2CAD22EA"/>
    <w:rsid w:val="2CAD5E46"/>
    <w:rsid w:val="2D173C07"/>
    <w:rsid w:val="2DA035D0"/>
    <w:rsid w:val="2DB20ECB"/>
    <w:rsid w:val="2E0A551A"/>
    <w:rsid w:val="2E0B4590"/>
    <w:rsid w:val="2E114AFB"/>
    <w:rsid w:val="2E190CDE"/>
    <w:rsid w:val="2E254102"/>
    <w:rsid w:val="2E2675CD"/>
    <w:rsid w:val="2E3D2FC4"/>
    <w:rsid w:val="2E474078"/>
    <w:rsid w:val="2E7D7A9A"/>
    <w:rsid w:val="2E90020C"/>
    <w:rsid w:val="2E9934DC"/>
    <w:rsid w:val="2E9B59BA"/>
    <w:rsid w:val="2EDD2724"/>
    <w:rsid w:val="2EEF973D"/>
    <w:rsid w:val="2F3B1DFD"/>
    <w:rsid w:val="2F7B047E"/>
    <w:rsid w:val="2F827DCD"/>
    <w:rsid w:val="2F856001"/>
    <w:rsid w:val="30944D13"/>
    <w:rsid w:val="3099071F"/>
    <w:rsid w:val="30B577A3"/>
    <w:rsid w:val="31086F9A"/>
    <w:rsid w:val="31257A07"/>
    <w:rsid w:val="31303944"/>
    <w:rsid w:val="31440F6B"/>
    <w:rsid w:val="315C608D"/>
    <w:rsid w:val="315E0057"/>
    <w:rsid w:val="31644F41"/>
    <w:rsid w:val="31816FA5"/>
    <w:rsid w:val="318D08D3"/>
    <w:rsid w:val="31F938DC"/>
    <w:rsid w:val="321C3A6B"/>
    <w:rsid w:val="32852B12"/>
    <w:rsid w:val="328B7CD6"/>
    <w:rsid w:val="32A50AC3"/>
    <w:rsid w:val="32AE3137"/>
    <w:rsid w:val="33091D80"/>
    <w:rsid w:val="331F3E00"/>
    <w:rsid w:val="33A41886"/>
    <w:rsid w:val="33F14B2E"/>
    <w:rsid w:val="34076784"/>
    <w:rsid w:val="340E24ED"/>
    <w:rsid w:val="34352E0E"/>
    <w:rsid w:val="346A71FF"/>
    <w:rsid w:val="34933A15"/>
    <w:rsid w:val="3503501E"/>
    <w:rsid w:val="351A6043"/>
    <w:rsid w:val="352C3FC8"/>
    <w:rsid w:val="35446E64"/>
    <w:rsid w:val="354E4E4E"/>
    <w:rsid w:val="3567215E"/>
    <w:rsid w:val="35BC70FA"/>
    <w:rsid w:val="35CC7F3D"/>
    <w:rsid w:val="35EB4BA0"/>
    <w:rsid w:val="3612372F"/>
    <w:rsid w:val="366559E4"/>
    <w:rsid w:val="36985DB9"/>
    <w:rsid w:val="36DD37CC"/>
    <w:rsid w:val="36F9612C"/>
    <w:rsid w:val="36FA437E"/>
    <w:rsid w:val="37036BE9"/>
    <w:rsid w:val="371424EC"/>
    <w:rsid w:val="375B6C9C"/>
    <w:rsid w:val="37844317"/>
    <w:rsid w:val="37954F87"/>
    <w:rsid w:val="37A13659"/>
    <w:rsid w:val="37D72911"/>
    <w:rsid w:val="37E62B54"/>
    <w:rsid w:val="37E961A0"/>
    <w:rsid w:val="37ED0011"/>
    <w:rsid w:val="380E17EE"/>
    <w:rsid w:val="38383C35"/>
    <w:rsid w:val="38462824"/>
    <w:rsid w:val="384A75F5"/>
    <w:rsid w:val="385255DE"/>
    <w:rsid w:val="385C4BC4"/>
    <w:rsid w:val="387D5266"/>
    <w:rsid w:val="38B16CBE"/>
    <w:rsid w:val="38B26805"/>
    <w:rsid w:val="38BA6577"/>
    <w:rsid w:val="38D46734"/>
    <w:rsid w:val="38E52A39"/>
    <w:rsid w:val="39074837"/>
    <w:rsid w:val="39274A76"/>
    <w:rsid w:val="392E6561"/>
    <w:rsid w:val="392F4087"/>
    <w:rsid w:val="393C6ED0"/>
    <w:rsid w:val="393E445F"/>
    <w:rsid w:val="3974645A"/>
    <w:rsid w:val="397C1E1E"/>
    <w:rsid w:val="39901949"/>
    <w:rsid w:val="39C80763"/>
    <w:rsid w:val="3A4F49E1"/>
    <w:rsid w:val="3A8521B0"/>
    <w:rsid w:val="3AA82343"/>
    <w:rsid w:val="3AB3405B"/>
    <w:rsid w:val="3AC75562"/>
    <w:rsid w:val="3ADB6272"/>
    <w:rsid w:val="3ADD6E62"/>
    <w:rsid w:val="3AF15404"/>
    <w:rsid w:val="3B047100"/>
    <w:rsid w:val="3B077069"/>
    <w:rsid w:val="3B133C60"/>
    <w:rsid w:val="3B6E533A"/>
    <w:rsid w:val="3B94579B"/>
    <w:rsid w:val="3BB5641E"/>
    <w:rsid w:val="3BE83A41"/>
    <w:rsid w:val="3BED5112"/>
    <w:rsid w:val="3C6109FB"/>
    <w:rsid w:val="3C662952"/>
    <w:rsid w:val="3CCF2325"/>
    <w:rsid w:val="3CDE038F"/>
    <w:rsid w:val="3CE533DA"/>
    <w:rsid w:val="3CF215E1"/>
    <w:rsid w:val="3D074E9C"/>
    <w:rsid w:val="3D492BB7"/>
    <w:rsid w:val="3D527C28"/>
    <w:rsid w:val="3D566086"/>
    <w:rsid w:val="3D8C7CFA"/>
    <w:rsid w:val="3D9958F1"/>
    <w:rsid w:val="3DDF7926"/>
    <w:rsid w:val="3DE61457"/>
    <w:rsid w:val="3DF5764D"/>
    <w:rsid w:val="3DFE0BF8"/>
    <w:rsid w:val="3E0556A7"/>
    <w:rsid w:val="3E484459"/>
    <w:rsid w:val="3E502AD5"/>
    <w:rsid w:val="3E6C3332"/>
    <w:rsid w:val="3E704F26"/>
    <w:rsid w:val="3E723A22"/>
    <w:rsid w:val="3E741EC9"/>
    <w:rsid w:val="3E9205B4"/>
    <w:rsid w:val="3E9E7CE5"/>
    <w:rsid w:val="3EB94B1E"/>
    <w:rsid w:val="3EBE6821"/>
    <w:rsid w:val="3F14292E"/>
    <w:rsid w:val="3F1D3FB4"/>
    <w:rsid w:val="3F287E20"/>
    <w:rsid w:val="3F570031"/>
    <w:rsid w:val="3F653C61"/>
    <w:rsid w:val="3F895F2B"/>
    <w:rsid w:val="3FC65790"/>
    <w:rsid w:val="3FD03249"/>
    <w:rsid w:val="3FF51B86"/>
    <w:rsid w:val="401A783F"/>
    <w:rsid w:val="40222DB1"/>
    <w:rsid w:val="40371ECC"/>
    <w:rsid w:val="40490124"/>
    <w:rsid w:val="405C6046"/>
    <w:rsid w:val="407231D7"/>
    <w:rsid w:val="407A652F"/>
    <w:rsid w:val="40866C82"/>
    <w:rsid w:val="409762E2"/>
    <w:rsid w:val="409B79A1"/>
    <w:rsid w:val="40A31410"/>
    <w:rsid w:val="40B1469C"/>
    <w:rsid w:val="410F655E"/>
    <w:rsid w:val="412D70FE"/>
    <w:rsid w:val="419034FD"/>
    <w:rsid w:val="41AC44C7"/>
    <w:rsid w:val="41BD4926"/>
    <w:rsid w:val="41F540C0"/>
    <w:rsid w:val="42042555"/>
    <w:rsid w:val="42317515"/>
    <w:rsid w:val="4242307D"/>
    <w:rsid w:val="424C7A58"/>
    <w:rsid w:val="42582ADC"/>
    <w:rsid w:val="42681988"/>
    <w:rsid w:val="42745488"/>
    <w:rsid w:val="42C2426D"/>
    <w:rsid w:val="42EE0B0F"/>
    <w:rsid w:val="4312610C"/>
    <w:rsid w:val="433E55F2"/>
    <w:rsid w:val="4392593E"/>
    <w:rsid w:val="43B025E2"/>
    <w:rsid w:val="43E243EE"/>
    <w:rsid w:val="43ED1299"/>
    <w:rsid w:val="44013BD3"/>
    <w:rsid w:val="4416656F"/>
    <w:rsid w:val="441D78FE"/>
    <w:rsid w:val="446A0749"/>
    <w:rsid w:val="4484172B"/>
    <w:rsid w:val="4496320C"/>
    <w:rsid w:val="44AD1C8F"/>
    <w:rsid w:val="44CB735A"/>
    <w:rsid w:val="44D13619"/>
    <w:rsid w:val="450E34D8"/>
    <w:rsid w:val="45317451"/>
    <w:rsid w:val="453612F3"/>
    <w:rsid w:val="455810E3"/>
    <w:rsid w:val="45592474"/>
    <w:rsid w:val="459868AA"/>
    <w:rsid w:val="45A217AF"/>
    <w:rsid w:val="45B33EFF"/>
    <w:rsid w:val="45DC10F2"/>
    <w:rsid w:val="46252A99"/>
    <w:rsid w:val="46433098"/>
    <w:rsid w:val="465D66D7"/>
    <w:rsid w:val="46606277"/>
    <w:rsid w:val="469D2F78"/>
    <w:rsid w:val="46A61E2C"/>
    <w:rsid w:val="470964FC"/>
    <w:rsid w:val="470E1780"/>
    <w:rsid w:val="471072A6"/>
    <w:rsid w:val="475C24EB"/>
    <w:rsid w:val="47925F0D"/>
    <w:rsid w:val="47CA1B4A"/>
    <w:rsid w:val="48013092"/>
    <w:rsid w:val="480405EC"/>
    <w:rsid w:val="485969A1"/>
    <w:rsid w:val="487E422A"/>
    <w:rsid w:val="488915A4"/>
    <w:rsid w:val="48D6125E"/>
    <w:rsid w:val="48F5382E"/>
    <w:rsid w:val="490A4809"/>
    <w:rsid w:val="49115557"/>
    <w:rsid w:val="492A03B2"/>
    <w:rsid w:val="492B43F9"/>
    <w:rsid w:val="49565A03"/>
    <w:rsid w:val="495B4571"/>
    <w:rsid w:val="49DB48FE"/>
    <w:rsid w:val="4A201C27"/>
    <w:rsid w:val="4A3C6604"/>
    <w:rsid w:val="4A497E2C"/>
    <w:rsid w:val="4A7D5330"/>
    <w:rsid w:val="4AB351F5"/>
    <w:rsid w:val="4AD938FF"/>
    <w:rsid w:val="4B5C0D0B"/>
    <w:rsid w:val="4B9444ED"/>
    <w:rsid w:val="4B9B7288"/>
    <w:rsid w:val="4BC444E0"/>
    <w:rsid w:val="4BDA60D4"/>
    <w:rsid w:val="4BF32DC5"/>
    <w:rsid w:val="4C1F6A9B"/>
    <w:rsid w:val="4C5E4FE6"/>
    <w:rsid w:val="4C73127D"/>
    <w:rsid w:val="4D094EC3"/>
    <w:rsid w:val="4D4D2E4A"/>
    <w:rsid w:val="4D590EB2"/>
    <w:rsid w:val="4D5F2E94"/>
    <w:rsid w:val="4D653795"/>
    <w:rsid w:val="4D670870"/>
    <w:rsid w:val="4D7F2320"/>
    <w:rsid w:val="4D82171B"/>
    <w:rsid w:val="4D88228C"/>
    <w:rsid w:val="4DF3347D"/>
    <w:rsid w:val="4DF816F7"/>
    <w:rsid w:val="4E1763F9"/>
    <w:rsid w:val="4E676345"/>
    <w:rsid w:val="4E7F169D"/>
    <w:rsid w:val="4E914C57"/>
    <w:rsid w:val="4EF31987"/>
    <w:rsid w:val="4F0801D0"/>
    <w:rsid w:val="4F0B7F86"/>
    <w:rsid w:val="4F194D4E"/>
    <w:rsid w:val="4F574C09"/>
    <w:rsid w:val="4F635C7F"/>
    <w:rsid w:val="4F742DB3"/>
    <w:rsid w:val="4F7D56F4"/>
    <w:rsid w:val="4F9827A5"/>
    <w:rsid w:val="4FBB5428"/>
    <w:rsid w:val="50072B3F"/>
    <w:rsid w:val="5024017E"/>
    <w:rsid w:val="506765BF"/>
    <w:rsid w:val="508C1B57"/>
    <w:rsid w:val="508E2C99"/>
    <w:rsid w:val="50A3118B"/>
    <w:rsid w:val="50A867A1"/>
    <w:rsid w:val="50AF1FEC"/>
    <w:rsid w:val="50DB6B76"/>
    <w:rsid w:val="50ED2406"/>
    <w:rsid w:val="50F31837"/>
    <w:rsid w:val="513D338D"/>
    <w:rsid w:val="51422F10"/>
    <w:rsid w:val="518910D7"/>
    <w:rsid w:val="518970DE"/>
    <w:rsid w:val="518E5997"/>
    <w:rsid w:val="519D1DAB"/>
    <w:rsid w:val="51D63647"/>
    <w:rsid w:val="51D82E79"/>
    <w:rsid w:val="521066AC"/>
    <w:rsid w:val="52306A4E"/>
    <w:rsid w:val="52546C42"/>
    <w:rsid w:val="53051C89"/>
    <w:rsid w:val="532E3D2A"/>
    <w:rsid w:val="5330338D"/>
    <w:rsid w:val="533E33EC"/>
    <w:rsid w:val="53502654"/>
    <w:rsid w:val="535449BE"/>
    <w:rsid w:val="537868FE"/>
    <w:rsid w:val="538A38CB"/>
    <w:rsid w:val="53D67114"/>
    <w:rsid w:val="541E1E4D"/>
    <w:rsid w:val="545D07C8"/>
    <w:rsid w:val="54BF0697"/>
    <w:rsid w:val="54C85664"/>
    <w:rsid w:val="54CC3657"/>
    <w:rsid w:val="54D85CBF"/>
    <w:rsid w:val="54D92307"/>
    <w:rsid w:val="54DC110F"/>
    <w:rsid w:val="54E658DC"/>
    <w:rsid w:val="54EE4A84"/>
    <w:rsid w:val="550540EF"/>
    <w:rsid w:val="556C5FEF"/>
    <w:rsid w:val="55780E38"/>
    <w:rsid w:val="558275C0"/>
    <w:rsid w:val="55A97243"/>
    <w:rsid w:val="55DB3175"/>
    <w:rsid w:val="561F5757"/>
    <w:rsid w:val="56466840"/>
    <w:rsid w:val="564F14CD"/>
    <w:rsid w:val="56751227"/>
    <w:rsid w:val="56755DC2"/>
    <w:rsid w:val="567915F9"/>
    <w:rsid w:val="5684380C"/>
    <w:rsid w:val="56990E78"/>
    <w:rsid w:val="56B762AA"/>
    <w:rsid w:val="56B85264"/>
    <w:rsid w:val="56D25089"/>
    <w:rsid w:val="57415259"/>
    <w:rsid w:val="57454D4A"/>
    <w:rsid w:val="57914921"/>
    <w:rsid w:val="57B37FCE"/>
    <w:rsid w:val="57F534B3"/>
    <w:rsid w:val="58340D78"/>
    <w:rsid w:val="583D1EC5"/>
    <w:rsid w:val="585D615A"/>
    <w:rsid w:val="586F2032"/>
    <w:rsid w:val="587037BA"/>
    <w:rsid w:val="58813029"/>
    <w:rsid w:val="58B852E0"/>
    <w:rsid w:val="58D27402"/>
    <w:rsid w:val="58E34913"/>
    <w:rsid w:val="58F92290"/>
    <w:rsid w:val="58F929C1"/>
    <w:rsid w:val="59150D0C"/>
    <w:rsid w:val="59222ADA"/>
    <w:rsid w:val="594B1E26"/>
    <w:rsid w:val="596025AE"/>
    <w:rsid w:val="5999312B"/>
    <w:rsid w:val="59B854D7"/>
    <w:rsid w:val="59CF44E3"/>
    <w:rsid w:val="59F20827"/>
    <w:rsid w:val="59F9006D"/>
    <w:rsid w:val="5A0013FC"/>
    <w:rsid w:val="5A272E2C"/>
    <w:rsid w:val="5A2F0931"/>
    <w:rsid w:val="5A627236"/>
    <w:rsid w:val="5A8913F1"/>
    <w:rsid w:val="5AA63D51"/>
    <w:rsid w:val="5AA954A7"/>
    <w:rsid w:val="5AAB7440"/>
    <w:rsid w:val="5ABB5ABA"/>
    <w:rsid w:val="5AC24903"/>
    <w:rsid w:val="5AD84127"/>
    <w:rsid w:val="5AEB5C08"/>
    <w:rsid w:val="5AFF3461"/>
    <w:rsid w:val="5B2730CA"/>
    <w:rsid w:val="5B4A4D44"/>
    <w:rsid w:val="5B6479AA"/>
    <w:rsid w:val="5B834092"/>
    <w:rsid w:val="5B955DC6"/>
    <w:rsid w:val="5B9C5BD2"/>
    <w:rsid w:val="5BE11D94"/>
    <w:rsid w:val="5BFB390E"/>
    <w:rsid w:val="5C3A23FF"/>
    <w:rsid w:val="5C58107B"/>
    <w:rsid w:val="5C806824"/>
    <w:rsid w:val="5CAE1E80"/>
    <w:rsid w:val="5CC20BEA"/>
    <w:rsid w:val="5CFD1C22"/>
    <w:rsid w:val="5D0336DD"/>
    <w:rsid w:val="5D5A7D25"/>
    <w:rsid w:val="5D742950"/>
    <w:rsid w:val="5DAE0742"/>
    <w:rsid w:val="5DCF1EE8"/>
    <w:rsid w:val="5DFF7767"/>
    <w:rsid w:val="5E0B002B"/>
    <w:rsid w:val="5E3C57D0"/>
    <w:rsid w:val="5E6E102A"/>
    <w:rsid w:val="5E966EBF"/>
    <w:rsid w:val="5EA57F0D"/>
    <w:rsid w:val="5EE13C3C"/>
    <w:rsid w:val="5F0D279D"/>
    <w:rsid w:val="5F4521AE"/>
    <w:rsid w:val="5F8F588F"/>
    <w:rsid w:val="5FAF48CB"/>
    <w:rsid w:val="5FC478C0"/>
    <w:rsid w:val="5FEB88DE"/>
    <w:rsid w:val="60215A7A"/>
    <w:rsid w:val="608D150F"/>
    <w:rsid w:val="60AC408B"/>
    <w:rsid w:val="60BF3DBF"/>
    <w:rsid w:val="60DB04CD"/>
    <w:rsid w:val="60EE3EEC"/>
    <w:rsid w:val="618227A6"/>
    <w:rsid w:val="623B56C7"/>
    <w:rsid w:val="623F0A4D"/>
    <w:rsid w:val="62475BA8"/>
    <w:rsid w:val="626A1B08"/>
    <w:rsid w:val="629C2FD5"/>
    <w:rsid w:val="62BF00A6"/>
    <w:rsid w:val="62E21FE6"/>
    <w:rsid w:val="62FA5C16"/>
    <w:rsid w:val="630231F3"/>
    <w:rsid w:val="630A5099"/>
    <w:rsid w:val="6356208C"/>
    <w:rsid w:val="63582DA4"/>
    <w:rsid w:val="63732383"/>
    <w:rsid w:val="63E4504B"/>
    <w:rsid w:val="64151F48"/>
    <w:rsid w:val="641A5828"/>
    <w:rsid w:val="641E6734"/>
    <w:rsid w:val="643137B1"/>
    <w:rsid w:val="64386CA5"/>
    <w:rsid w:val="643F0B32"/>
    <w:rsid w:val="64412D3D"/>
    <w:rsid w:val="64671F23"/>
    <w:rsid w:val="64A07A63"/>
    <w:rsid w:val="64C23E7D"/>
    <w:rsid w:val="64C90210"/>
    <w:rsid w:val="64C93C49"/>
    <w:rsid w:val="64D43A01"/>
    <w:rsid w:val="64DC562A"/>
    <w:rsid w:val="64E07AF4"/>
    <w:rsid w:val="64FF6124"/>
    <w:rsid w:val="65075ABB"/>
    <w:rsid w:val="6509385A"/>
    <w:rsid w:val="657A6809"/>
    <w:rsid w:val="65904539"/>
    <w:rsid w:val="659770B8"/>
    <w:rsid w:val="65A7607A"/>
    <w:rsid w:val="65CA1A77"/>
    <w:rsid w:val="66742F55"/>
    <w:rsid w:val="66952ECC"/>
    <w:rsid w:val="66B3122D"/>
    <w:rsid w:val="66C11F13"/>
    <w:rsid w:val="66E4687E"/>
    <w:rsid w:val="66EA1E04"/>
    <w:rsid w:val="674F272E"/>
    <w:rsid w:val="676B25A3"/>
    <w:rsid w:val="67973158"/>
    <w:rsid w:val="67AA2321"/>
    <w:rsid w:val="6833299C"/>
    <w:rsid w:val="6844104D"/>
    <w:rsid w:val="6848469A"/>
    <w:rsid w:val="68690E30"/>
    <w:rsid w:val="68906E9A"/>
    <w:rsid w:val="68A33FC6"/>
    <w:rsid w:val="68A40204"/>
    <w:rsid w:val="68AC2CF6"/>
    <w:rsid w:val="68F72A05"/>
    <w:rsid w:val="69201173"/>
    <w:rsid w:val="69263A35"/>
    <w:rsid w:val="69352E58"/>
    <w:rsid w:val="693A58C0"/>
    <w:rsid w:val="69443D7D"/>
    <w:rsid w:val="694A322B"/>
    <w:rsid w:val="69B31FE7"/>
    <w:rsid w:val="69FF468E"/>
    <w:rsid w:val="6A162576"/>
    <w:rsid w:val="6A1C6F99"/>
    <w:rsid w:val="6A1E78CE"/>
    <w:rsid w:val="6A266AAA"/>
    <w:rsid w:val="6A303637"/>
    <w:rsid w:val="6A8676FB"/>
    <w:rsid w:val="6AE0505D"/>
    <w:rsid w:val="6B217424"/>
    <w:rsid w:val="6B4A069A"/>
    <w:rsid w:val="6B5D5927"/>
    <w:rsid w:val="6B8B77E1"/>
    <w:rsid w:val="6B9610B3"/>
    <w:rsid w:val="6BA27780"/>
    <w:rsid w:val="6BCE30A5"/>
    <w:rsid w:val="6BE3488C"/>
    <w:rsid w:val="6BE566F6"/>
    <w:rsid w:val="6BEB30AF"/>
    <w:rsid w:val="6BEE7306"/>
    <w:rsid w:val="6C037DFF"/>
    <w:rsid w:val="6C0E5BFA"/>
    <w:rsid w:val="6C6A424F"/>
    <w:rsid w:val="6C727F37"/>
    <w:rsid w:val="6CB4512C"/>
    <w:rsid w:val="6CFB656C"/>
    <w:rsid w:val="6D036DE1"/>
    <w:rsid w:val="6D535020"/>
    <w:rsid w:val="6D6A1DD2"/>
    <w:rsid w:val="6D8B0F6D"/>
    <w:rsid w:val="6DF9568E"/>
    <w:rsid w:val="6E166FE8"/>
    <w:rsid w:val="6E1C40E9"/>
    <w:rsid w:val="6E700D11"/>
    <w:rsid w:val="6E763790"/>
    <w:rsid w:val="6EBE56B6"/>
    <w:rsid w:val="6ECB4EEC"/>
    <w:rsid w:val="6ED23B80"/>
    <w:rsid w:val="6EE70791"/>
    <w:rsid w:val="6EEE3AC1"/>
    <w:rsid w:val="6F1E34FF"/>
    <w:rsid w:val="6F294103"/>
    <w:rsid w:val="6F616041"/>
    <w:rsid w:val="6FCE7B7A"/>
    <w:rsid w:val="6FD42F16"/>
    <w:rsid w:val="6FE80510"/>
    <w:rsid w:val="6FF71DF4"/>
    <w:rsid w:val="70117A67"/>
    <w:rsid w:val="70476C49"/>
    <w:rsid w:val="70553DF8"/>
    <w:rsid w:val="70657A84"/>
    <w:rsid w:val="70AC3B98"/>
    <w:rsid w:val="70BD374B"/>
    <w:rsid w:val="70C76378"/>
    <w:rsid w:val="70C96594"/>
    <w:rsid w:val="70DB3596"/>
    <w:rsid w:val="70E328C2"/>
    <w:rsid w:val="70EF7EEA"/>
    <w:rsid w:val="71193077"/>
    <w:rsid w:val="712B744D"/>
    <w:rsid w:val="713900A9"/>
    <w:rsid w:val="714F7031"/>
    <w:rsid w:val="715B3540"/>
    <w:rsid w:val="71B52674"/>
    <w:rsid w:val="71C05CE6"/>
    <w:rsid w:val="72084E9A"/>
    <w:rsid w:val="72350F17"/>
    <w:rsid w:val="723B34FC"/>
    <w:rsid w:val="723F349A"/>
    <w:rsid w:val="72AD517D"/>
    <w:rsid w:val="72FF629D"/>
    <w:rsid w:val="7318735E"/>
    <w:rsid w:val="732D4BB8"/>
    <w:rsid w:val="732E26DE"/>
    <w:rsid w:val="73577A3C"/>
    <w:rsid w:val="736531AD"/>
    <w:rsid w:val="73C4187C"/>
    <w:rsid w:val="73DB2866"/>
    <w:rsid w:val="73F531FC"/>
    <w:rsid w:val="745D496B"/>
    <w:rsid w:val="74844CAB"/>
    <w:rsid w:val="748E5D0A"/>
    <w:rsid w:val="74B66E2F"/>
    <w:rsid w:val="74F33BDF"/>
    <w:rsid w:val="75177823"/>
    <w:rsid w:val="758B5965"/>
    <w:rsid w:val="75917D7E"/>
    <w:rsid w:val="75AB0D20"/>
    <w:rsid w:val="75F94007"/>
    <w:rsid w:val="7653210B"/>
    <w:rsid w:val="76571F4C"/>
    <w:rsid w:val="76726D86"/>
    <w:rsid w:val="76DE5835"/>
    <w:rsid w:val="76F31C74"/>
    <w:rsid w:val="76F33A7E"/>
    <w:rsid w:val="77002601"/>
    <w:rsid w:val="77016C3D"/>
    <w:rsid w:val="772207AC"/>
    <w:rsid w:val="77253DF8"/>
    <w:rsid w:val="772E0EFE"/>
    <w:rsid w:val="774C308E"/>
    <w:rsid w:val="777C7F9D"/>
    <w:rsid w:val="77AE59B8"/>
    <w:rsid w:val="77E92B8D"/>
    <w:rsid w:val="78A27929"/>
    <w:rsid w:val="78B04770"/>
    <w:rsid w:val="78CE0BEB"/>
    <w:rsid w:val="78DC7BBD"/>
    <w:rsid w:val="7904460D"/>
    <w:rsid w:val="790449F5"/>
    <w:rsid w:val="7913582A"/>
    <w:rsid w:val="792F3EBC"/>
    <w:rsid w:val="793F692A"/>
    <w:rsid w:val="79501600"/>
    <w:rsid w:val="795804B5"/>
    <w:rsid w:val="796636AA"/>
    <w:rsid w:val="79751067"/>
    <w:rsid w:val="79875D7C"/>
    <w:rsid w:val="798873B0"/>
    <w:rsid w:val="79B778D1"/>
    <w:rsid w:val="79FD2E0A"/>
    <w:rsid w:val="7A4B1DC7"/>
    <w:rsid w:val="7A6B246A"/>
    <w:rsid w:val="7A94376E"/>
    <w:rsid w:val="7AA975E0"/>
    <w:rsid w:val="7AAC16F7"/>
    <w:rsid w:val="7AAE68CF"/>
    <w:rsid w:val="7AD24297"/>
    <w:rsid w:val="7AF432FD"/>
    <w:rsid w:val="7B096601"/>
    <w:rsid w:val="7B5241EA"/>
    <w:rsid w:val="7B7A1EEE"/>
    <w:rsid w:val="7B7D0AC6"/>
    <w:rsid w:val="7B9BE5B9"/>
    <w:rsid w:val="7BBA4A5E"/>
    <w:rsid w:val="7BE44282"/>
    <w:rsid w:val="7BF26431"/>
    <w:rsid w:val="7C333FF5"/>
    <w:rsid w:val="7C574819"/>
    <w:rsid w:val="7C947A56"/>
    <w:rsid w:val="7CBF265E"/>
    <w:rsid w:val="7D24527D"/>
    <w:rsid w:val="7D2A6AD2"/>
    <w:rsid w:val="7D2D1CE7"/>
    <w:rsid w:val="7D567401"/>
    <w:rsid w:val="7D5E1E12"/>
    <w:rsid w:val="7D67516A"/>
    <w:rsid w:val="7D6E02A7"/>
    <w:rsid w:val="7D6F401F"/>
    <w:rsid w:val="7D8B2113"/>
    <w:rsid w:val="7DA81056"/>
    <w:rsid w:val="7DE40569"/>
    <w:rsid w:val="7E187B10"/>
    <w:rsid w:val="7EBD620A"/>
    <w:rsid w:val="7EF053B6"/>
    <w:rsid w:val="7EF64DED"/>
    <w:rsid w:val="7EFD59BE"/>
    <w:rsid w:val="7F080287"/>
    <w:rsid w:val="7F2A2E97"/>
    <w:rsid w:val="7F402117"/>
    <w:rsid w:val="7F832FF0"/>
    <w:rsid w:val="7F8C2C66"/>
    <w:rsid w:val="7FBB79EF"/>
    <w:rsid w:val="7FEE56CF"/>
    <w:rsid w:val="D3EF3314"/>
    <w:rsid w:val="EFF6B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45"/>
    <w:autoRedefine/>
    <w:qFormat/>
    <w:uiPriority w:val="0"/>
    <w:pPr>
      <w:jc w:val="left"/>
      <w:outlineLvl w:val="0"/>
    </w:pPr>
    <w:rPr>
      <w:rFonts w:ascii="黑体" w:hAnsi="宋体" w:eastAsia="黑体"/>
      <w:b/>
      <w:bCs/>
      <w:kern w:val="0"/>
      <w:sz w:val="32"/>
      <w:szCs w:val="32"/>
    </w:rPr>
  </w:style>
  <w:style w:type="paragraph" w:styleId="8">
    <w:name w:val="heading 2"/>
    <w:basedOn w:val="1"/>
    <w:next w:val="1"/>
    <w:autoRedefine/>
    <w:qFormat/>
    <w:uiPriority w:val="99"/>
    <w:pPr>
      <w:keepNext/>
      <w:keepLines/>
      <w:spacing w:line="415"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5" w:lineRule="auto"/>
      <w:jc w:val="center"/>
      <w:outlineLvl w:val="2"/>
    </w:pPr>
    <w:rPr>
      <w:rFonts w:ascii="宋体" w:hAnsi="Calibri"/>
      <w:b/>
      <w:bCs/>
      <w:sz w:val="32"/>
      <w:szCs w:val="32"/>
    </w:rPr>
  </w:style>
  <w:style w:type="paragraph" w:styleId="10">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spacing w:before="0" w:beforeAutospacing="0"/>
      <w:ind w:firstLine="420" w:firstLineChars="200"/>
      <w:jc w:val="left"/>
    </w:pPr>
    <w:rPr>
      <w:kern w:val="0"/>
      <w:sz w:val="22"/>
      <w:szCs w:val="22"/>
    </w:rPr>
  </w:style>
  <w:style w:type="paragraph" w:styleId="3">
    <w:name w:val="Body Text Indent"/>
    <w:basedOn w:val="1"/>
    <w:next w:val="4"/>
    <w:autoRedefine/>
    <w:qFormat/>
    <w:uiPriority w:val="0"/>
    <w:pPr>
      <w:spacing w:before="100" w:beforeAutospacing="1"/>
      <w:ind w:left="200" w:leftChars="200"/>
    </w:pPr>
  </w:style>
  <w:style w:type="paragraph" w:styleId="4">
    <w:name w:val="envelope return"/>
    <w:basedOn w:val="1"/>
    <w:autoRedefine/>
    <w:qFormat/>
    <w:uiPriority w:val="0"/>
    <w:pPr>
      <w:snapToGrid w:val="0"/>
    </w:pPr>
    <w:rPr>
      <w:rFonts w:ascii="Arial" w:hAnsi="Arial"/>
    </w:rPr>
  </w:style>
  <w:style w:type="paragraph" w:styleId="5">
    <w:name w:val="Body Text First Indent"/>
    <w:basedOn w:val="6"/>
    <w:next w:val="1"/>
    <w:autoRedefine/>
    <w:qFormat/>
    <w:uiPriority w:val="0"/>
    <w:pPr>
      <w:autoSpaceDE w:val="0"/>
      <w:autoSpaceDN w:val="0"/>
      <w:adjustRightInd w:val="0"/>
      <w:spacing w:before="154" w:after="0" w:line="360" w:lineRule="auto"/>
      <w:ind w:left="102" w:right="-10" w:rightChars="-10" w:firstLine="425" w:firstLineChars="225"/>
    </w:pPr>
    <w:rPr>
      <w:rFonts w:ascii="Arial" w:hAnsi="Arial" w:eastAsia="仿宋_GB2312" w:cs="Arial"/>
      <w:sz w:val="24"/>
      <w:szCs w:val="24"/>
    </w:rPr>
  </w:style>
  <w:style w:type="paragraph" w:styleId="6">
    <w:name w:val="Body Text"/>
    <w:basedOn w:val="1"/>
    <w:autoRedefine/>
    <w:qFormat/>
    <w:uiPriority w:val="0"/>
    <w:pPr>
      <w:spacing w:after="120"/>
      <w:jc w:val="left"/>
    </w:pPr>
    <w:rPr>
      <w:kern w:val="0"/>
      <w:sz w:val="22"/>
      <w:szCs w:val="22"/>
    </w:rPr>
  </w:style>
  <w:style w:type="paragraph" w:styleId="11">
    <w:name w:val="Normal Indent"/>
    <w:basedOn w:val="1"/>
    <w:next w:val="1"/>
    <w:autoRedefine/>
    <w:qFormat/>
    <w:uiPriority w:val="0"/>
    <w:pPr>
      <w:widowControl/>
      <w:ind w:firstLine="420"/>
      <w:jc w:val="left"/>
    </w:pPr>
    <w:rPr>
      <w:kern w:val="0"/>
      <w:sz w:val="20"/>
      <w:szCs w:val="20"/>
    </w:rPr>
  </w:style>
  <w:style w:type="paragraph" w:styleId="12">
    <w:name w:val="annotation text"/>
    <w:basedOn w:val="1"/>
    <w:autoRedefine/>
    <w:qFormat/>
    <w:uiPriority w:val="0"/>
    <w:pPr>
      <w:jc w:val="left"/>
    </w:pPr>
  </w:style>
  <w:style w:type="paragraph" w:styleId="13">
    <w:name w:val="List 2"/>
    <w:basedOn w:val="1"/>
    <w:autoRedefine/>
    <w:qFormat/>
    <w:uiPriority w:val="0"/>
    <w:pPr>
      <w:ind w:left="200" w:leftChars="200" w:hanging="200" w:hangingChars="200"/>
      <w:jc w:val="left"/>
    </w:pPr>
    <w:rPr>
      <w:rFonts w:eastAsia="Calibri"/>
      <w:kern w:val="0"/>
      <w:sz w:val="22"/>
      <w:szCs w:val="22"/>
    </w:rPr>
  </w:style>
  <w:style w:type="paragraph" w:styleId="14">
    <w:name w:val="Plain Text"/>
    <w:basedOn w:val="1"/>
    <w:next w:val="1"/>
    <w:autoRedefine/>
    <w:qFormat/>
    <w:uiPriority w:val="99"/>
    <w:rPr>
      <w:rFonts w:ascii="宋体" w:hAnsi="Courier New"/>
    </w:rPr>
  </w:style>
  <w:style w:type="paragraph" w:styleId="15">
    <w:name w:val="Date"/>
    <w:basedOn w:val="1"/>
    <w:next w:val="1"/>
    <w:autoRedefine/>
    <w:qFormat/>
    <w:uiPriority w:val="0"/>
    <w:rPr>
      <w:rFonts w:ascii="Arial" w:hAnsi="Arial"/>
      <w:b/>
      <w:sz w:val="28"/>
    </w:rPr>
  </w:style>
  <w:style w:type="paragraph" w:styleId="16">
    <w:name w:val="Balloon Text"/>
    <w:basedOn w:val="1"/>
    <w:link w:val="71"/>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rFonts w:eastAsia="Times New Roman"/>
      <w:sz w:val="18"/>
    </w:rPr>
  </w:style>
  <w:style w:type="paragraph" w:styleId="18">
    <w:name w:val="header"/>
    <w:basedOn w:val="1"/>
    <w:next w:val="1"/>
    <w:autoRedefine/>
    <w:qFormat/>
    <w:uiPriority w:val="99"/>
    <w:pPr>
      <w:pBdr>
        <w:bottom w:val="single" w:color="auto" w:sz="6" w:space="1"/>
      </w:pBdr>
      <w:tabs>
        <w:tab w:val="center" w:pos="4153"/>
        <w:tab w:val="right" w:pos="8306"/>
      </w:tabs>
      <w:snapToGrid w:val="0"/>
      <w:jc w:val="center"/>
    </w:pPr>
    <w:rPr>
      <w:sz w:val="22"/>
      <w:szCs w:val="22"/>
    </w:rPr>
  </w:style>
  <w:style w:type="paragraph" w:styleId="19">
    <w:name w:val="toc 1"/>
    <w:basedOn w:val="1"/>
    <w:next w:val="1"/>
    <w:autoRedefine/>
    <w:qFormat/>
    <w:uiPriority w:val="0"/>
    <w:pPr>
      <w:spacing w:before="116"/>
      <w:ind w:left="18"/>
      <w:jc w:val="left"/>
    </w:pPr>
    <w:rPr>
      <w:rFonts w:ascii="宋体" w:hAnsi="宋体"/>
      <w:kern w:val="0"/>
      <w:sz w:val="28"/>
      <w:szCs w:val="28"/>
    </w:rPr>
  </w:style>
  <w:style w:type="paragraph" w:styleId="20">
    <w:name w:val="toc 2"/>
    <w:basedOn w:val="1"/>
    <w:next w:val="1"/>
    <w:autoRedefine/>
    <w:qFormat/>
    <w:uiPriority w:val="0"/>
    <w:pPr>
      <w:ind w:left="210"/>
      <w:jc w:val="left"/>
    </w:pPr>
    <w:rPr>
      <w:smallCaps/>
      <w:kern w:val="1"/>
      <w:sz w:val="28"/>
      <w:szCs w:val="24"/>
    </w:rPr>
  </w:style>
  <w:style w:type="paragraph" w:styleId="2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23">
    <w:name w:val="Table Grid"/>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Strong"/>
    <w:basedOn w:val="24"/>
    <w:autoRedefine/>
    <w:qFormat/>
    <w:uiPriority w:val="0"/>
  </w:style>
  <w:style w:type="character" w:styleId="26">
    <w:name w:val="FollowedHyperlink"/>
    <w:basedOn w:val="24"/>
    <w:autoRedefine/>
    <w:qFormat/>
    <w:uiPriority w:val="0"/>
    <w:rPr>
      <w:color w:val="800080"/>
      <w:u w:val="none"/>
    </w:rPr>
  </w:style>
  <w:style w:type="character" w:styleId="27">
    <w:name w:val="Emphasis"/>
    <w:basedOn w:val="24"/>
    <w:autoRedefine/>
    <w:qFormat/>
    <w:uiPriority w:val="0"/>
  </w:style>
  <w:style w:type="character" w:styleId="28">
    <w:name w:val="HTML Definition"/>
    <w:basedOn w:val="24"/>
    <w:autoRedefine/>
    <w:qFormat/>
    <w:uiPriority w:val="0"/>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0000FF"/>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ascii="monospace" w:hAnsi="monospace" w:eastAsia="monospace" w:cs="monospace"/>
    </w:rPr>
  </w:style>
  <w:style w:type="paragraph" w:customStyle="1" w:styleId="37">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styleId="38">
    <w:name w:val="List Paragraph"/>
    <w:basedOn w:val="1"/>
    <w:autoRedefine/>
    <w:unhideWhenUsed/>
    <w:qFormat/>
    <w:uiPriority w:val="99"/>
    <w:pPr>
      <w:ind w:firstLine="420" w:firstLineChars="200"/>
    </w:pPr>
  </w:style>
  <w:style w:type="paragraph" w:customStyle="1" w:styleId="39">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paragraph" w:customStyle="1" w:styleId="40">
    <w:name w:val="Body Text First Indent1"/>
    <w:basedOn w:val="6"/>
    <w:next w:val="1"/>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41">
    <w:name w:val="NormalCharacter"/>
    <w:autoRedefine/>
    <w:qFormat/>
    <w:uiPriority w:val="0"/>
    <w:rPr>
      <w:rFonts w:ascii="Times New Roman" w:hAnsi="Times New Roman" w:eastAsia="宋体" w:cs="Times New Roman"/>
      <w:kern w:val="2"/>
      <w:sz w:val="21"/>
      <w:szCs w:val="21"/>
      <w:lang w:val="en-US" w:eastAsia="zh-CN" w:bidi="ar-SA"/>
    </w:rPr>
  </w:style>
  <w:style w:type="paragraph" w:customStyle="1" w:styleId="42">
    <w:name w:val="样式 正文首行缩进 2 + 首行缩进:  2 字符"/>
    <w:basedOn w:val="1"/>
    <w:next w:val="8"/>
    <w:autoRedefine/>
    <w:qFormat/>
    <w:uiPriority w:val="0"/>
    <w:pPr>
      <w:ind w:firstLine="480"/>
    </w:pPr>
  </w:style>
  <w:style w:type="paragraph" w:customStyle="1" w:styleId="43">
    <w:name w:val="Heading1"/>
    <w:basedOn w:val="1"/>
    <w:next w:val="1"/>
    <w:autoRedefine/>
    <w:qFormat/>
    <w:uiPriority w:val="0"/>
    <w:pPr>
      <w:jc w:val="left"/>
      <w:textAlignment w:val="baseline"/>
    </w:pPr>
    <w:rPr>
      <w:rFonts w:ascii="黑体" w:hAnsi="宋体" w:eastAsia="黑体"/>
      <w:b/>
      <w:bCs/>
      <w:kern w:val="0"/>
      <w:sz w:val="32"/>
      <w:szCs w:val="32"/>
    </w:rPr>
  </w:style>
  <w:style w:type="paragraph" w:customStyle="1" w:styleId="44">
    <w:name w:val="TOC2"/>
    <w:basedOn w:val="1"/>
    <w:next w:val="1"/>
    <w:autoRedefine/>
    <w:qFormat/>
    <w:uiPriority w:val="0"/>
    <w:pPr>
      <w:ind w:left="210"/>
      <w:jc w:val="left"/>
      <w:textAlignment w:val="baseline"/>
    </w:pPr>
    <w:rPr>
      <w:smallCaps/>
      <w:sz w:val="28"/>
      <w:szCs w:val="24"/>
    </w:rPr>
  </w:style>
  <w:style w:type="character" w:customStyle="1" w:styleId="45">
    <w:name w:val="标题 1 Char"/>
    <w:basedOn w:val="24"/>
    <w:link w:val="7"/>
    <w:autoRedefine/>
    <w:qFormat/>
    <w:uiPriority w:val="0"/>
    <w:rPr>
      <w:rFonts w:ascii="黑体" w:hAnsi="宋体" w:eastAsia="黑体" w:cs="Times New Roman"/>
      <w:b/>
      <w:bCs/>
      <w:kern w:val="0"/>
      <w:sz w:val="32"/>
      <w:szCs w:val="32"/>
    </w:rPr>
  </w:style>
  <w:style w:type="paragraph" w:customStyle="1" w:styleId="46">
    <w:name w:val="HtmlNormal"/>
    <w:basedOn w:val="1"/>
    <w:autoRedefine/>
    <w:qFormat/>
    <w:uiPriority w:val="0"/>
    <w:pPr>
      <w:widowControl/>
      <w:spacing w:before="100" w:beforeAutospacing="1" w:after="100" w:afterAutospacing="1"/>
      <w:jc w:val="left"/>
      <w:textAlignment w:val="baseline"/>
    </w:pPr>
    <w:rPr>
      <w:rFonts w:ascii="宋体" w:hAnsi="宋体"/>
      <w:kern w:val="0"/>
      <w:sz w:val="24"/>
      <w:szCs w:val="24"/>
    </w:rPr>
  </w:style>
  <w:style w:type="paragraph" w:customStyle="1" w:styleId="47">
    <w:name w:val="BodyText"/>
    <w:basedOn w:val="1"/>
    <w:next w:val="44"/>
    <w:autoRedefine/>
    <w:qFormat/>
    <w:uiPriority w:val="0"/>
    <w:pPr>
      <w:textAlignment w:val="baseline"/>
    </w:pPr>
    <w:rPr>
      <w:rFonts w:ascii="宋体" w:hAnsi="Arial"/>
      <w:sz w:val="28"/>
      <w:szCs w:val="22"/>
    </w:rPr>
  </w:style>
  <w:style w:type="paragraph" w:customStyle="1" w:styleId="48">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customStyle="1" w:styleId="4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0">
    <w:name w:val="BodyText1I2"/>
    <w:basedOn w:val="51"/>
    <w:next w:val="53"/>
    <w:autoRedefine/>
    <w:qFormat/>
    <w:uiPriority w:val="0"/>
    <w:pPr>
      <w:spacing w:before="100" w:beforeAutospacing="1" w:after="100" w:afterAutospacing="1"/>
      <w:ind w:left="200" w:firstLine="200" w:firstLineChars="200"/>
    </w:pPr>
    <w:rPr>
      <w:rFonts w:ascii="Times New Roman" w:hAnsi="Times New Roman" w:cs="Times New Roman"/>
    </w:rPr>
  </w:style>
  <w:style w:type="paragraph" w:customStyle="1" w:styleId="51">
    <w:name w:val="BodyTextIndent"/>
    <w:basedOn w:val="1"/>
    <w:next w:val="52"/>
    <w:autoRedefine/>
    <w:qFormat/>
    <w:uiPriority w:val="0"/>
    <w:pPr>
      <w:ind w:firstLine="645"/>
      <w:textAlignment w:val="baseline"/>
    </w:pPr>
    <w:rPr>
      <w:rFonts w:ascii="楷体_GB2312" w:hAnsi="楷体_GB2312" w:cs="宋体"/>
      <w:sz w:val="32"/>
      <w:szCs w:val="32"/>
    </w:rPr>
  </w:style>
  <w:style w:type="paragraph" w:customStyle="1" w:styleId="52">
    <w:name w:val="EnvelopeReturn"/>
    <w:basedOn w:val="1"/>
    <w:autoRedefine/>
    <w:qFormat/>
    <w:uiPriority w:val="0"/>
    <w:pPr>
      <w:snapToGrid w:val="0"/>
      <w:textAlignment w:val="baseline"/>
    </w:pPr>
    <w:rPr>
      <w:rFonts w:ascii="Arial" w:hAnsi="Arial" w:cs="Arial"/>
    </w:rPr>
  </w:style>
  <w:style w:type="paragraph" w:customStyle="1" w:styleId="53">
    <w:name w:val="BodyText1I"/>
    <w:basedOn w:val="47"/>
    <w:next w:val="1"/>
    <w:autoRedefine/>
    <w:qFormat/>
    <w:uiPriority w:val="0"/>
    <w:pPr>
      <w:spacing w:before="100" w:beforeAutospacing="1" w:after="100" w:afterAutospacing="1" w:line="360" w:lineRule="auto"/>
      <w:ind w:right="-10" w:rightChars="-10" w:firstLine="425" w:firstLineChars="225"/>
    </w:pPr>
    <w:rPr>
      <w:rFonts w:ascii="Arial" w:hAnsi="Times New Roman" w:eastAsia="仿宋_GB2312" w:cs="Arial"/>
      <w:kern w:val="0"/>
      <w:sz w:val="24"/>
      <w:szCs w:val="24"/>
    </w:rPr>
  </w:style>
  <w:style w:type="paragraph" w:customStyle="1" w:styleId="54">
    <w:name w:val="正文_1"/>
    <w:basedOn w:val="1"/>
    <w:autoRedefine/>
    <w:qFormat/>
    <w:uiPriority w:val="0"/>
  </w:style>
  <w:style w:type="paragraph" w:customStyle="1" w:styleId="55">
    <w:name w:val="_Style 3"/>
    <w:basedOn w:val="1"/>
    <w:next w:val="1"/>
    <w:autoRedefine/>
    <w:qFormat/>
    <w:uiPriority w:val="0"/>
    <w:pPr>
      <w:pBdr>
        <w:bottom w:val="single" w:color="auto" w:sz="6" w:space="1"/>
      </w:pBdr>
      <w:jc w:val="center"/>
    </w:pPr>
    <w:rPr>
      <w:rFonts w:ascii="Arial"/>
      <w:vanish/>
      <w:kern w:val="0"/>
      <w:sz w:val="16"/>
      <w:szCs w:val="16"/>
    </w:rPr>
  </w:style>
  <w:style w:type="paragraph" w:customStyle="1" w:styleId="56">
    <w:name w:val="UserStyle_16"/>
    <w:basedOn w:val="1"/>
    <w:next w:val="57"/>
    <w:autoRedefine/>
    <w:qFormat/>
    <w:uiPriority w:val="0"/>
    <w:pPr>
      <w:ind w:firstLine="480"/>
      <w:textAlignment w:val="baseline"/>
    </w:pPr>
  </w:style>
  <w:style w:type="paragraph" w:customStyle="1" w:styleId="57">
    <w:name w:val="Heading2"/>
    <w:basedOn w:val="1"/>
    <w:next w:val="1"/>
    <w:autoRedefine/>
    <w:qFormat/>
    <w:uiPriority w:val="0"/>
    <w:pPr>
      <w:keepNext/>
      <w:keepLines/>
      <w:spacing w:before="260" w:after="260" w:line="415" w:lineRule="auto"/>
      <w:textAlignment w:val="baseline"/>
    </w:pPr>
    <w:rPr>
      <w:rFonts w:ascii="Arial" w:hAnsi="Arial" w:eastAsia="黑体" w:cs="Arial"/>
      <w:b/>
      <w:bCs/>
      <w:sz w:val="32"/>
      <w:szCs w:val="32"/>
    </w:rPr>
  </w:style>
  <w:style w:type="paragraph" w:customStyle="1" w:styleId="58">
    <w:name w:val="NormalIndent"/>
    <w:basedOn w:val="1"/>
    <w:autoRedefine/>
    <w:qFormat/>
    <w:uiPriority w:val="0"/>
    <w:pPr>
      <w:widowControl/>
      <w:ind w:firstLine="420"/>
      <w:jc w:val="left"/>
      <w:textAlignment w:val="baseline"/>
    </w:pPr>
    <w:rPr>
      <w:rFonts w:ascii="Calibri" w:hAnsi="Calibri"/>
      <w:kern w:val="0"/>
      <w:sz w:val="20"/>
      <w:szCs w:val="20"/>
    </w:rPr>
  </w:style>
  <w:style w:type="paragraph" w:customStyle="1" w:styleId="59">
    <w:name w:val="PlainText"/>
    <w:basedOn w:val="1"/>
    <w:autoRedefine/>
    <w:qFormat/>
    <w:uiPriority w:val="0"/>
    <w:pPr>
      <w:textAlignment w:val="baseline"/>
    </w:pPr>
    <w:rPr>
      <w:rFonts w:ascii="宋体" w:hAnsi="Courier New"/>
    </w:rPr>
  </w:style>
  <w:style w:type="paragraph" w:customStyle="1" w:styleId="60">
    <w:name w:val="Heading3"/>
    <w:basedOn w:val="1"/>
    <w:next w:val="1"/>
    <w:autoRedefine/>
    <w:qFormat/>
    <w:uiPriority w:val="0"/>
    <w:pPr>
      <w:keepNext/>
      <w:keepLines/>
      <w:spacing w:before="260" w:after="260" w:line="416" w:lineRule="auto"/>
      <w:jc w:val="center"/>
      <w:textAlignment w:val="baseline"/>
    </w:pPr>
    <w:rPr>
      <w:rFonts w:ascii="宋体" w:hAnsi="Calibri" w:cs="Calibri"/>
      <w:b/>
      <w:bCs/>
      <w:sz w:val="32"/>
      <w:szCs w:val="32"/>
    </w:rPr>
  </w:style>
  <w:style w:type="character" w:customStyle="1" w:styleId="61">
    <w:name w:val="first-child2"/>
    <w:basedOn w:val="24"/>
    <w:autoRedefine/>
    <w:qFormat/>
    <w:uiPriority w:val="0"/>
  </w:style>
  <w:style w:type="character" w:customStyle="1" w:styleId="62">
    <w:name w:val="first-child3"/>
    <w:basedOn w:val="24"/>
    <w:autoRedefine/>
    <w:qFormat/>
    <w:uiPriority w:val="0"/>
  </w:style>
  <w:style w:type="character" w:customStyle="1" w:styleId="63">
    <w:name w:val="layui-layer-tabnow"/>
    <w:basedOn w:val="24"/>
    <w:autoRedefine/>
    <w:qFormat/>
    <w:uiPriority w:val="0"/>
    <w:rPr>
      <w:bdr w:val="single" w:color="CCCCCC" w:sz="6" w:space="0"/>
      <w:shd w:val="clear" w:color="auto" w:fill="FFFFFF"/>
    </w:rPr>
  </w:style>
  <w:style w:type="character" w:customStyle="1" w:styleId="64">
    <w:name w:val="first-child1"/>
    <w:basedOn w:val="24"/>
    <w:autoRedefine/>
    <w:qFormat/>
    <w:uiPriority w:val="0"/>
  </w:style>
  <w:style w:type="paragraph" w:customStyle="1" w:styleId="65">
    <w:name w:val="正文首行缩进两字符"/>
    <w:basedOn w:val="1"/>
    <w:autoRedefine/>
    <w:qFormat/>
    <w:uiPriority w:val="99"/>
    <w:pPr>
      <w:spacing w:line="360" w:lineRule="auto"/>
      <w:ind w:firstLine="200" w:firstLineChars="200"/>
    </w:pPr>
    <w:rPr>
      <w:rFonts w:ascii="宋体" w:cs="宋体"/>
      <w:kern w:val="0"/>
      <w:sz w:val="34"/>
      <w:szCs w:val="34"/>
    </w:rPr>
  </w:style>
  <w:style w:type="paragraph" w:customStyle="1" w:styleId="66">
    <w:name w:val="D&amp;L"/>
    <w:basedOn w:val="18"/>
    <w:autoRedefine/>
    <w:qFormat/>
    <w:uiPriority w:val="99"/>
    <w:pPr>
      <w:pBdr>
        <w:bottom w:val="thinThickSmallGap" w:color="auto" w:sz="18" w:space="1"/>
      </w:pBdr>
      <w:adjustRightInd w:val="0"/>
      <w:snapToGrid/>
      <w:spacing w:line="240" w:lineRule="atLeast"/>
      <w:textAlignment w:val="baseline"/>
    </w:pPr>
    <w:rPr>
      <w:kern w:val="0"/>
      <w:sz w:val="24"/>
      <w:szCs w:val="24"/>
    </w:rPr>
  </w:style>
  <w:style w:type="paragraph" w:customStyle="1" w:styleId="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表格文字"/>
    <w:basedOn w:val="1"/>
    <w:next w:val="6"/>
    <w:autoRedefine/>
    <w:qFormat/>
    <w:uiPriority w:val="0"/>
    <w:pPr>
      <w:adjustRightInd w:val="0"/>
      <w:spacing w:line="420" w:lineRule="atLeast"/>
      <w:jc w:val="left"/>
      <w:textAlignment w:val="baseline"/>
    </w:pPr>
  </w:style>
  <w:style w:type="paragraph" w:customStyle="1" w:styleId="69">
    <w:name w:val="p15"/>
    <w:basedOn w:val="1"/>
    <w:autoRedefine/>
    <w:qFormat/>
    <w:uiPriority w:val="0"/>
    <w:pPr>
      <w:widowControl/>
      <w:spacing w:line="360" w:lineRule="auto"/>
      <w:ind w:firstLine="480" w:firstLineChars="200"/>
      <w:jc w:val="left"/>
    </w:pPr>
    <w:rPr>
      <w:rFonts w:ascii="Calibri" w:hAnsi="Calibri"/>
      <w:sz w:val="24"/>
      <w:szCs w:val="24"/>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character" w:customStyle="1" w:styleId="71">
    <w:name w:val="批注框文本 Char"/>
    <w:basedOn w:val="24"/>
    <w:link w:val="16"/>
    <w:autoRedefine/>
    <w:qFormat/>
    <w:uiPriority w:val="0"/>
    <w:rPr>
      <w:kern w:val="2"/>
      <w:sz w:val="18"/>
      <w:szCs w:val="18"/>
    </w:rPr>
  </w:style>
  <w:style w:type="character" w:customStyle="1" w:styleId="72">
    <w:name w:val="first-child"/>
    <w:basedOn w:val="24"/>
    <w:autoRedefine/>
    <w:qFormat/>
    <w:uiPriority w:val="0"/>
  </w:style>
  <w:style w:type="character" w:customStyle="1" w:styleId="73">
    <w:name w:val="first-child4"/>
    <w:basedOn w:val="24"/>
    <w:autoRedefine/>
    <w:qFormat/>
    <w:uiPriority w:val="0"/>
  </w:style>
  <w:style w:type="paragraph" w:customStyle="1" w:styleId="74">
    <w:name w:val="列出段落1"/>
    <w:basedOn w:val="1"/>
    <w:autoRedefine/>
    <w:qFormat/>
    <w:uiPriority w:val="0"/>
    <w:pPr>
      <w:ind w:firstLine="200" w:firstLineChars="200"/>
    </w:pPr>
  </w:style>
  <w:style w:type="paragraph" w:customStyle="1" w:styleId="75">
    <w:name w:val="WPSOffice手动目录 1"/>
    <w:autoRedefine/>
    <w:qFormat/>
    <w:uiPriority w:val="0"/>
    <w:pPr>
      <w:ind w:leftChars="0"/>
    </w:pPr>
    <w:rPr>
      <w:rFonts w:ascii="Times New Roman" w:hAnsi="Times New Roman" w:eastAsia="宋体" w:cs="Times New Roman"/>
      <w:sz w:val="20"/>
      <w:szCs w:val="20"/>
    </w:rPr>
  </w:style>
  <w:style w:type="paragraph" w:customStyle="1" w:styleId="76">
    <w:name w:val="Table Paragraph"/>
    <w:basedOn w:val="1"/>
    <w:qFormat/>
    <w:uiPriority w:val="0"/>
    <w:pPr>
      <w:autoSpaceDE w:val="0"/>
      <w:autoSpaceDN w:val="0"/>
      <w:jc w:val="left"/>
    </w:pPr>
    <w:rPr>
      <w:rFonts w:ascii="仿宋" w:hAnsi="仿宋" w:eastAsia="仿宋" w:cs="仿宋"/>
      <w:kern w:val="0"/>
      <w:sz w:val="22"/>
      <w:szCs w:val="22"/>
      <w:lang w:eastAsia="en-US"/>
    </w:rPr>
  </w:style>
  <w:style w:type="paragraph" w:customStyle="1" w:styleId="77">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118</Pages>
  <Words>3721</Words>
  <Characters>4157</Characters>
  <Lines>507</Lines>
  <Paragraphs>142</Paragraphs>
  <TotalTime>1</TotalTime>
  <ScaleCrop>false</ScaleCrop>
  <LinksUpToDate>false</LinksUpToDate>
  <CharactersWithSpaces>4271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2023-05-09T00:25:00Z</dcterms:created>
  <dc:creator>NTKO</dc:creator>
  <cp:lastModifiedBy>　 </cp:lastModifiedBy>
  <cp:lastPrinted>2023-07-17T11:54:00Z</cp:lastPrinted>
  <dcterms:modified xsi:type="dcterms:W3CDTF">2025-10-15T00:29:24Z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2E87B7C607E04E4686B017F74EB7A735_13</vt:lpwstr>
  </property>
  <property fmtid="{D5CDD505-2E9C-101B-9397-08002B2CF9AE}" pid="4" name="KSOTemplateDocerSaveRecord">
    <vt:lpwstr>eyJoZGlkIjoiZDhkNjlkZWNkZjI0YzE1YWE4ZGM3ODcxYTVhYTE1MTQiLCJ1c2VySWQiOiI1MjMyMjA0NDYifQ==</vt:lpwstr>
  </property>
</Properties>
</file>